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C6" w:rsidRPr="00310843" w:rsidRDefault="002A3FC6" w:rsidP="002A3FC6">
      <w:pPr>
        <w:spacing w:after="0" w:line="360" w:lineRule="auto"/>
        <w:jc w:val="both"/>
        <w:rPr>
          <w:rFonts w:ascii="Palatino Linotype" w:hAnsi="Palatino Linotype" w:cs="Arial"/>
          <w:b/>
          <w:sz w:val="24"/>
          <w:szCs w:val="24"/>
        </w:rPr>
      </w:pPr>
      <w:r w:rsidRPr="00310843">
        <w:rPr>
          <w:rFonts w:ascii="Palatino Linotype" w:hAnsi="Palatino Linotype" w:cs="Arial"/>
          <w:b/>
          <w:sz w:val="24"/>
          <w:szCs w:val="24"/>
        </w:rPr>
        <w:t>VOTO PARTICULAR DEL COMISIONADO JOSÉ GUADALUPE LUNA HERNÁNDEZ EN EL RECURSO DE REVISIÓN 0</w:t>
      </w:r>
      <w:r w:rsidR="00EC5B5F">
        <w:rPr>
          <w:rFonts w:ascii="Palatino Linotype" w:hAnsi="Palatino Linotype" w:cs="Arial"/>
          <w:b/>
          <w:sz w:val="24"/>
          <w:szCs w:val="24"/>
        </w:rPr>
        <w:t>2557</w:t>
      </w:r>
      <w:r w:rsidRPr="00310843">
        <w:rPr>
          <w:rFonts w:ascii="Palatino Linotype" w:hAnsi="Palatino Linotype" w:cs="Arial"/>
          <w:b/>
          <w:sz w:val="24"/>
          <w:szCs w:val="24"/>
        </w:rPr>
        <w:t>/INFOEM/IP/RR/201</w:t>
      </w:r>
      <w:r>
        <w:rPr>
          <w:rFonts w:ascii="Palatino Linotype" w:hAnsi="Palatino Linotype" w:cs="Arial"/>
          <w:b/>
          <w:sz w:val="24"/>
          <w:szCs w:val="24"/>
        </w:rPr>
        <w:t>9</w:t>
      </w:r>
      <w:r w:rsidRPr="00310843">
        <w:rPr>
          <w:rFonts w:ascii="Palatino Linotype" w:hAnsi="Palatino Linotype" w:cs="Arial"/>
          <w:b/>
          <w:sz w:val="24"/>
          <w:szCs w:val="24"/>
        </w:rPr>
        <w:t>.</w:t>
      </w:r>
    </w:p>
    <w:p w:rsidR="002A3FC6" w:rsidRPr="00310843" w:rsidRDefault="002A3FC6" w:rsidP="002A3FC6">
      <w:pPr>
        <w:spacing w:after="0" w:line="360" w:lineRule="auto"/>
        <w:jc w:val="both"/>
        <w:rPr>
          <w:rFonts w:ascii="Palatino Linotype" w:hAnsi="Palatino Linotype" w:cs="Arial"/>
          <w:b/>
          <w:sz w:val="24"/>
          <w:szCs w:val="24"/>
        </w:rPr>
      </w:pPr>
    </w:p>
    <w:p w:rsidR="002A3FC6" w:rsidRDefault="002A3FC6" w:rsidP="002A3FC6">
      <w:pPr>
        <w:spacing w:after="0" w:line="360" w:lineRule="auto"/>
        <w:jc w:val="both"/>
        <w:rPr>
          <w:rFonts w:ascii="Palatino Linotype" w:hAnsi="Palatino Linotype" w:cs="Arial"/>
          <w:sz w:val="24"/>
          <w:szCs w:val="24"/>
        </w:rPr>
      </w:pPr>
      <w:r w:rsidRPr="00310843">
        <w:rPr>
          <w:rFonts w:ascii="Palatino Linotype" w:hAnsi="Palatino Linotype" w:cs="Arial"/>
          <w:b/>
          <w:sz w:val="24"/>
          <w:szCs w:val="24"/>
        </w:rPr>
        <w:t xml:space="preserve">Resumen del voto: </w:t>
      </w:r>
      <w:r w:rsidRPr="00310843">
        <w:rPr>
          <w:rFonts w:ascii="Palatino Linotype" w:hAnsi="Palatino Linotype" w:cs="Arial"/>
          <w:sz w:val="24"/>
          <w:szCs w:val="24"/>
        </w:rPr>
        <w:t>El pre</w:t>
      </w:r>
      <w:r>
        <w:rPr>
          <w:rFonts w:ascii="Palatino Linotype" w:hAnsi="Palatino Linotype" w:cs="Arial"/>
          <w:sz w:val="24"/>
          <w:szCs w:val="24"/>
        </w:rPr>
        <w:t>sente voto particular señala</w:t>
      </w:r>
      <w:r w:rsidRPr="00310843">
        <w:rPr>
          <w:rFonts w:ascii="Palatino Linotype" w:hAnsi="Palatino Linotype" w:cs="Arial"/>
          <w:b/>
          <w:sz w:val="24"/>
          <w:szCs w:val="24"/>
        </w:rPr>
        <w:t xml:space="preserve"> </w:t>
      </w:r>
      <w:r w:rsidRPr="002A3FC6">
        <w:rPr>
          <w:rFonts w:ascii="Palatino Linotype" w:hAnsi="Palatino Linotype" w:cs="Arial"/>
          <w:sz w:val="24"/>
          <w:szCs w:val="24"/>
        </w:rPr>
        <w:t>la falta de certeza en el desistimiento de los solicitantes cuando hacen manifestaciones de inconformidad</w:t>
      </w:r>
      <w:r>
        <w:rPr>
          <w:rFonts w:ascii="Palatino Linotype" w:hAnsi="Palatino Linotype" w:cs="Arial"/>
          <w:sz w:val="24"/>
          <w:szCs w:val="24"/>
        </w:rPr>
        <w:t xml:space="preserve"> en lugar de expresar su conformidad con la información</w:t>
      </w:r>
      <w:r w:rsidR="003064A9">
        <w:rPr>
          <w:rFonts w:ascii="Palatino Linotype" w:hAnsi="Palatino Linotype" w:cs="Arial"/>
          <w:sz w:val="24"/>
          <w:szCs w:val="24"/>
        </w:rPr>
        <w:t xml:space="preserve"> que se les entrega mediante la respuesta</w:t>
      </w:r>
      <w:r>
        <w:rPr>
          <w:rFonts w:ascii="Palatino Linotype" w:hAnsi="Palatino Linotype" w:cs="Arial"/>
          <w:sz w:val="24"/>
          <w:szCs w:val="24"/>
        </w:rPr>
        <w:t>.</w:t>
      </w:r>
    </w:p>
    <w:p w:rsidR="002A3FC6" w:rsidRPr="002A3FC6" w:rsidRDefault="002A3FC6" w:rsidP="002A3FC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sdt>
      <w:sdtPr>
        <w:rPr>
          <w:szCs w:val="24"/>
          <w:lang w:val="es-ES"/>
        </w:rPr>
        <w:id w:val="-1339223820"/>
        <w:docPartObj>
          <w:docPartGallery w:val="Table of Contents"/>
          <w:docPartUnique/>
        </w:docPartObj>
      </w:sdtPr>
      <w:sdtEndPr>
        <w:rPr>
          <w:bCs/>
        </w:rPr>
      </w:sdtEndPr>
      <w:sdtContent>
        <w:p w:rsidR="002A3FC6" w:rsidRPr="00310843" w:rsidRDefault="002A3FC6" w:rsidP="002A3FC6">
          <w:pPr>
            <w:keepNext/>
            <w:keepLines/>
            <w:spacing w:before="240" w:after="0"/>
            <w:rPr>
              <w:rFonts w:ascii="Palatino Linotype" w:eastAsiaTheme="majorEastAsia" w:hAnsi="Palatino Linotype" w:cstheme="majorBidi"/>
              <w:b/>
              <w:sz w:val="24"/>
              <w:szCs w:val="24"/>
              <w:lang w:eastAsia="es-MX"/>
            </w:rPr>
          </w:pPr>
          <w:r w:rsidRPr="00310843">
            <w:rPr>
              <w:rFonts w:ascii="Palatino Linotype" w:eastAsiaTheme="majorEastAsia" w:hAnsi="Palatino Linotype" w:cstheme="majorBidi"/>
              <w:b/>
              <w:sz w:val="24"/>
              <w:szCs w:val="24"/>
              <w:lang w:val="es-ES" w:eastAsia="es-MX"/>
            </w:rPr>
            <w:t>Índice</w:t>
          </w:r>
        </w:p>
        <w:p w:rsidR="00592FEC" w:rsidRDefault="002A3FC6">
          <w:pPr>
            <w:pStyle w:val="TDC1"/>
            <w:tabs>
              <w:tab w:val="left" w:pos="440"/>
              <w:tab w:val="right" w:leader="dot" w:pos="8828"/>
            </w:tabs>
            <w:rPr>
              <w:rFonts w:eastAsiaTheme="minorEastAsia"/>
              <w:noProof/>
              <w:lang w:eastAsia="es-MX"/>
            </w:rPr>
          </w:pPr>
          <w:r w:rsidRPr="00310843">
            <w:rPr>
              <w:rFonts w:ascii="Palatino Linotype" w:hAnsi="Palatino Linotype"/>
              <w:b/>
              <w:sz w:val="24"/>
              <w:szCs w:val="24"/>
            </w:rPr>
            <w:fldChar w:fldCharType="begin"/>
          </w:r>
          <w:r w:rsidRPr="00310843">
            <w:rPr>
              <w:rFonts w:ascii="Palatino Linotype" w:hAnsi="Palatino Linotype"/>
              <w:b/>
              <w:sz w:val="24"/>
              <w:szCs w:val="24"/>
            </w:rPr>
            <w:instrText xml:space="preserve"> TOC \o "1-3" \h \z \u </w:instrText>
          </w:r>
          <w:r w:rsidRPr="00310843">
            <w:rPr>
              <w:rFonts w:ascii="Palatino Linotype" w:hAnsi="Palatino Linotype"/>
              <w:b/>
              <w:sz w:val="24"/>
              <w:szCs w:val="24"/>
            </w:rPr>
            <w:fldChar w:fldCharType="separate"/>
          </w:r>
          <w:hyperlink w:anchor="_Toc2012868" w:history="1">
            <w:r w:rsidR="00592FEC" w:rsidRPr="00BC6667">
              <w:rPr>
                <w:rStyle w:val="Hipervnculo"/>
                <w:rFonts w:ascii="Palatino Linotype" w:eastAsiaTheme="majorEastAsia" w:hAnsi="Palatino Linotype" w:cstheme="majorBidi"/>
                <w:b/>
                <w:noProof/>
              </w:rPr>
              <w:t>I.</w:t>
            </w:r>
            <w:r w:rsidR="00592FEC">
              <w:rPr>
                <w:rFonts w:eastAsiaTheme="minorEastAsia"/>
                <w:noProof/>
                <w:lang w:eastAsia="es-MX"/>
              </w:rPr>
              <w:tab/>
            </w:r>
            <w:r w:rsidR="00592FEC" w:rsidRPr="00BC6667">
              <w:rPr>
                <w:rStyle w:val="Hipervnculo"/>
                <w:rFonts w:ascii="Palatino Linotype" w:eastAsiaTheme="majorEastAsia" w:hAnsi="Palatino Linotype" w:cstheme="majorBidi"/>
                <w:b/>
                <w:noProof/>
              </w:rPr>
              <w:t>Consideraciones Generales.</w:t>
            </w:r>
            <w:r w:rsidR="00592FEC">
              <w:rPr>
                <w:noProof/>
                <w:webHidden/>
              </w:rPr>
              <w:tab/>
            </w:r>
            <w:r w:rsidR="00592FEC">
              <w:rPr>
                <w:noProof/>
                <w:webHidden/>
              </w:rPr>
              <w:fldChar w:fldCharType="begin"/>
            </w:r>
            <w:r w:rsidR="00592FEC">
              <w:rPr>
                <w:noProof/>
                <w:webHidden/>
              </w:rPr>
              <w:instrText xml:space="preserve"> PAGEREF _Toc2012868 \h </w:instrText>
            </w:r>
            <w:r w:rsidR="00592FEC">
              <w:rPr>
                <w:noProof/>
                <w:webHidden/>
              </w:rPr>
            </w:r>
            <w:r w:rsidR="00592FEC">
              <w:rPr>
                <w:noProof/>
                <w:webHidden/>
              </w:rPr>
              <w:fldChar w:fldCharType="separate"/>
            </w:r>
            <w:r w:rsidR="0068468C">
              <w:rPr>
                <w:noProof/>
                <w:webHidden/>
              </w:rPr>
              <w:t>1</w:t>
            </w:r>
            <w:r w:rsidR="00592FEC">
              <w:rPr>
                <w:noProof/>
                <w:webHidden/>
              </w:rPr>
              <w:fldChar w:fldCharType="end"/>
            </w:r>
          </w:hyperlink>
        </w:p>
        <w:p w:rsidR="00592FEC" w:rsidRDefault="00684C95">
          <w:pPr>
            <w:pStyle w:val="TDC1"/>
            <w:tabs>
              <w:tab w:val="left" w:pos="660"/>
              <w:tab w:val="right" w:leader="dot" w:pos="8828"/>
            </w:tabs>
            <w:rPr>
              <w:rFonts w:eastAsiaTheme="minorEastAsia"/>
              <w:noProof/>
              <w:lang w:eastAsia="es-MX"/>
            </w:rPr>
          </w:pPr>
          <w:hyperlink w:anchor="_Toc2012869" w:history="1">
            <w:r w:rsidR="00592FEC" w:rsidRPr="00BC6667">
              <w:rPr>
                <w:rStyle w:val="Hipervnculo"/>
                <w:rFonts w:ascii="Palatino Linotype" w:eastAsiaTheme="majorEastAsia" w:hAnsi="Palatino Linotype" w:cstheme="majorBidi"/>
                <w:b/>
                <w:noProof/>
              </w:rPr>
              <w:t>II.</w:t>
            </w:r>
            <w:r w:rsidR="00592FEC">
              <w:rPr>
                <w:rFonts w:eastAsiaTheme="minorEastAsia"/>
                <w:noProof/>
                <w:lang w:eastAsia="es-MX"/>
              </w:rPr>
              <w:tab/>
            </w:r>
            <w:r w:rsidR="00592FEC" w:rsidRPr="00BC6667">
              <w:rPr>
                <w:rStyle w:val="Hipervnculo"/>
                <w:rFonts w:ascii="Palatino Linotype" w:eastAsiaTheme="majorEastAsia" w:hAnsi="Palatino Linotype" w:cstheme="majorBidi"/>
                <w:b/>
                <w:noProof/>
              </w:rPr>
              <w:t>Del Procedimiento de Acceso a la Información Pública.</w:t>
            </w:r>
            <w:r w:rsidR="00592FEC">
              <w:rPr>
                <w:noProof/>
                <w:webHidden/>
              </w:rPr>
              <w:tab/>
            </w:r>
            <w:r w:rsidR="00592FEC">
              <w:rPr>
                <w:noProof/>
                <w:webHidden/>
              </w:rPr>
              <w:fldChar w:fldCharType="begin"/>
            </w:r>
            <w:r w:rsidR="00592FEC">
              <w:rPr>
                <w:noProof/>
                <w:webHidden/>
              </w:rPr>
              <w:instrText xml:space="preserve"> PAGEREF _Toc2012869 \h </w:instrText>
            </w:r>
            <w:r w:rsidR="00592FEC">
              <w:rPr>
                <w:noProof/>
                <w:webHidden/>
              </w:rPr>
            </w:r>
            <w:r w:rsidR="00592FEC">
              <w:rPr>
                <w:noProof/>
                <w:webHidden/>
              </w:rPr>
              <w:fldChar w:fldCharType="separate"/>
            </w:r>
            <w:r w:rsidR="0068468C">
              <w:rPr>
                <w:noProof/>
                <w:webHidden/>
              </w:rPr>
              <w:t>2</w:t>
            </w:r>
            <w:r w:rsidR="00592FEC">
              <w:rPr>
                <w:noProof/>
                <w:webHidden/>
              </w:rPr>
              <w:fldChar w:fldCharType="end"/>
            </w:r>
          </w:hyperlink>
        </w:p>
        <w:p w:rsidR="00592FEC" w:rsidRDefault="00684C95">
          <w:pPr>
            <w:pStyle w:val="TDC1"/>
            <w:tabs>
              <w:tab w:val="left" w:pos="660"/>
              <w:tab w:val="right" w:leader="dot" w:pos="8828"/>
            </w:tabs>
            <w:rPr>
              <w:rFonts w:eastAsiaTheme="minorEastAsia"/>
              <w:noProof/>
              <w:lang w:eastAsia="es-MX"/>
            </w:rPr>
          </w:pPr>
          <w:hyperlink w:anchor="_Toc2012870" w:history="1">
            <w:r w:rsidR="00592FEC" w:rsidRPr="007B01E6">
              <w:rPr>
                <w:rStyle w:val="Hipervnculo"/>
                <w:rFonts w:ascii="Palatino Linotype" w:hAnsi="Palatino Linotype" w:cs="Arial"/>
                <w:b/>
                <w:noProof/>
              </w:rPr>
              <w:t>III</w:t>
            </w:r>
            <w:r w:rsidR="00592FEC" w:rsidRPr="00BC6667">
              <w:rPr>
                <w:rStyle w:val="Hipervnculo"/>
                <w:rFonts w:ascii="Palatino Linotype" w:hAnsi="Palatino Linotype" w:cs="Arial"/>
                <w:b/>
                <w:i/>
                <w:noProof/>
              </w:rPr>
              <w:t>.</w:t>
            </w:r>
            <w:r w:rsidR="00592FEC">
              <w:rPr>
                <w:rFonts w:eastAsiaTheme="minorEastAsia"/>
                <w:noProof/>
                <w:lang w:eastAsia="es-MX"/>
              </w:rPr>
              <w:tab/>
            </w:r>
            <w:r w:rsidR="00592FEC" w:rsidRPr="00BC6667">
              <w:rPr>
                <w:rStyle w:val="Hipervnculo"/>
                <w:rFonts w:ascii="Palatino Linotype" w:eastAsiaTheme="majorEastAsia" w:hAnsi="Palatino Linotype" w:cstheme="majorBidi"/>
                <w:b/>
                <w:noProof/>
              </w:rPr>
              <w:t>Del contenido del desistimiento</w:t>
            </w:r>
            <w:r w:rsidR="00592FEC">
              <w:rPr>
                <w:noProof/>
                <w:webHidden/>
              </w:rPr>
              <w:tab/>
            </w:r>
            <w:r w:rsidR="00592FEC">
              <w:rPr>
                <w:noProof/>
                <w:webHidden/>
              </w:rPr>
              <w:fldChar w:fldCharType="begin"/>
            </w:r>
            <w:r w:rsidR="00592FEC">
              <w:rPr>
                <w:noProof/>
                <w:webHidden/>
              </w:rPr>
              <w:instrText xml:space="preserve"> PAGEREF _Toc2012870 \h </w:instrText>
            </w:r>
            <w:r w:rsidR="00592FEC">
              <w:rPr>
                <w:noProof/>
                <w:webHidden/>
              </w:rPr>
            </w:r>
            <w:r w:rsidR="00592FEC">
              <w:rPr>
                <w:noProof/>
                <w:webHidden/>
              </w:rPr>
              <w:fldChar w:fldCharType="separate"/>
            </w:r>
            <w:r w:rsidR="0068468C">
              <w:rPr>
                <w:noProof/>
                <w:webHidden/>
              </w:rPr>
              <w:t>8</w:t>
            </w:r>
            <w:r w:rsidR="00592FEC">
              <w:rPr>
                <w:noProof/>
                <w:webHidden/>
              </w:rPr>
              <w:fldChar w:fldCharType="end"/>
            </w:r>
          </w:hyperlink>
        </w:p>
        <w:p w:rsidR="00592FEC" w:rsidRDefault="00684C95" w:rsidP="00592FEC">
          <w:pPr>
            <w:pStyle w:val="TDC2"/>
            <w:tabs>
              <w:tab w:val="right" w:leader="dot" w:pos="8828"/>
            </w:tabs>
            <w:ind w:left="0"/>
            <w:rPr>
              <w:noProof/>
            </w:rPr>
          </w:pPr>
          <w:hyperlink w:anchor="_Toc2012871" w:history="1">
            <w:r w:rsidR="00592FEC" w:rsidRPr="00BC6667">
              <w:rPr>
                <w:rStyle w:val="Hipervnculo"/>
                <w:rFonts w:ascii="Palatino Linotype" w:hAnsi="Palatino Linotype"/>
                <w:b/>
                <w:noProof/>
              </w:rPr>
              <w:t>IV. Conclusión.</w:t>
            </w:r>
            <w:r w:rsidR="00592FEC">
              <w:rPr>
                <w:noProof/>
                <w:webHidden/>
              </w:rPr>
              <w:tab/>
            </w:r>
            <w:r w:rsidR="00592FEC">
              <w:rPr>
                <w:noProof/>
                <w:webHidden/>
              </w:rPr>
              <w:fldChar w:fldCharType="begin"/>
            </w:r>
            <w:r w:rsidR="00592FEC">
              <w:rPr>
                <w:noProof/>
                <w:webHidden/>
              </w:rPr>
              <w:instrText xml:space="preserve"> PAGEREF _Toc2012871 \h </w:instrText>
            </w:r>
            <w:r w:rsidR="00592FEC">
              <w:rPr>
                <w:noProof/>
                <w:webHidden/>
              </w:rPr>
            </w:r>
            <w:r w:rsidR="00592FEC">
              <w:rPr>
                <w:noProof/>
                <w:webHidden/>
              </w:rPr>
              <w:fldChar w:fldCharType="separate"/>
            </w:r>
            <w:r w:rsidR="0068468C">
              <w:rPr>
                <w:noProof/>
                <w:webHidden/>
              </w:rPr>
              <w:t>9</w:t>
            </w:r>
            <w:r w:rsidR="00592FEC">
              <w:rPr>
                <w:noProof/>
                <w:webHidden/>
              </w:rPr>
              <w:fldChar w:fldCharType="end"/>
            </w:r>
          </w:hyperlink>
        </w:p>
        <w:p w:rsidR="002A3FC6" w:rsidRPr="002A3FC6" w:rsidRDefault="002A3FC6" w:rsidP="002A3FC6">
          <w:pPr>
            <w:rPr>
              <w:rFonts w:ascii="Palatino Linotype" w:hAnsi="Palatino Linotype"/>
              <w:b/>
              <w:bCs/>
              <w:sz w:val="24"/>
              <w:szCs w:val="24"/>
              <w:lang w:val="es-ES"/>
            </w:rPr>
          </w:pPr>
          <w:r w:rsidRPr="00310843">
            <w:rPr>
              <w:rFonts w:ascii="Palatino Linotype" w:hAnsi="Palatino Linotype"/>
              <w:b/>
              <w:bCs/>
              <w:sz w:val="24"/>
              <w:szCs w:val="24"/>
              <w:lang w:val="es-ES"/>
            </w:rPr>
            <w:fldChar w:fldCharType="end"/>
          </w:r>
        </w:p>
      </w:sdtContent>
    </w:sdt>
    <w:p w:rsidR="002A3FC6" w:rsidRPr="00310843" w:rsidRDefault="002A3FC6" w:rsidP="002A3FC6"/>
    <w:p w:rsidR="002A3FC6" w:rsidRPr="00310843" w:rsidRDefault="002A3FC6" w:rsidP="002A3FC6">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0" w:name="_Toc2012868"/>
      <w:r w:rsidRPr="00310843">
        <w:rPr>
          <w:rFonts w:ascii="Palatino Linotype" w:eastAsiaTheme="majorEastAsia" w:hAnsi="Palatino Linotype" w:cstheme="majorBidi"/>
          <w:b/>
          <w:sz w:val="24"/>
          <w:szCs w:val="32"/>
        </w:rPr>
        <w:t>Consideraciones Generales.</w:t>
      </w:r>
      <w:bookmarkEnd w:id="0"/>
    </w:p>
    <w:p w:rsidR="002A3FC6" w:rsidRPr="00310843" w:rsidRDefault="002A3FC6" w:rsidP="002A3FC6"/>
    <w:p w:rsidR="002A3FC6" w:rsidRPr="00310843" w:rsidRDefault="002A3FC6" w:rsidP="002A3FC6">
      <w:pPr>
        <w:numPr>
          <w:ilvl w:val="0"/>
          <w:numId w:val="1"/>
        </w:numPr>
        <w:spacing w:after="0" w:line="360" w:lineRule="auto"/>
        <w:ind w:left="0" w:firstLine="0"/>
        <w:contextualSpacing/>
        <w:jc w:val="both"/>
        <w:rPr>
          <w:rFonts w:ascii="Palatino Linotype" w:hAnsi="Palatino Linotype" w:cs="Arial"/>
          <w:b/>
          <w:sz w:val="24"/>
          <w:szCs w:val="24"/>
        </w:rPr>
      </w:pPr>
      <w:r w:rsidRPr="00310843">
        <w:rPr>
          <w:rFonts w:ascii="Palatino Linotype" w:eastAsia="Times New Roman" w:hAnsi="Palatino Linotype" w:cs="Arial"/>
          <w:sz w:val="24"/>
          <w:szCs w:val="24"/>
          <w:lang w:val="es-ES_tradnl"/>
        </w:rPr>
        <w:t xml:space="preserve">He concurrido con mi voto particular de la presente resolución emitida </w:t>
      </w:r>
      <w:r w:rsidRPr="00310843">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EC5B5F">
        <w:rPr>
          <w:rFonts w:ascii="Palatino Linotype" w:hAnsi="Palatino Linotype" w:cs="Arial"/>
          <w:sz w:val="24"/>
          <w:szCs w:val="24"/>
        </w:rPr>
        <w:t>Vigésima Cuarta</w:t>
      </w:r>
      <w:r w:rsidRPr="00310843">
        <w:rPr>
          <w:rFonts w:ascii="Palatino Linotype" w:hAnsi="Palatino Linotype" w:cs="Arial"/>
          <w:sz w:val="24"/>
          <w:szCs w:val="24"/>
        </w:rPr>
        <w:t xml:space="preserve"> Sesión Ordinaria celebrada el día </w:t>
      </w:r>
      <w:r w:rsidR="00EC5B5F">
        <w:rPr>
          <w:rFonts w:ascii="Palatino Linotype" w:hAnsi="Palatino Linotype" w:cs="Arial"/>
          <w:sz w:val="24"/>
          <w:szCs w:val="24"/>
        </w:rPr>
        <w:t>veintiséis (26) de junio</w:t>
      </w:r>
      <w:r>
        <w:rPr>
          <w:rFonts w:ascii="Palatino Linotype" w:hAnsi="Palatino Linotype" w:cs="Arial"/>
          <w:sz w:val="24"/>
          <w:szCs w:val="24"/>
        </w:rPr>
        <w:t xml:space="preserve"> de dos mil diecinueve</w:t>
      </w:r>
      <w:r w:rsidRPr="00310843">
        <w:rPr>
          <w:rFonts w:ascii="Palatino Linotype" w:hAnsi="Palatino Linotype" w:cs="Arial"/>
          <w:sz w:val="24"/>
          <w:szCs w:val="24"/>
        </w:rPr>
        <w:t>, en el recurso de revisión</w:t>
      </w:r>
      <w:r w:rsidR="00EC5B5F">
        <w:rPr>
          <w:rFonts w:ascii="Palatino Linotype" w:hAnsi="Palatino Linotype" w:cs="Arial"/>
          <w:sz w:val="24"/>
          <w:szCs w:val="24"/>
        </w:rPr>
        <w:t xml:space="preserve"> en contra de la respuesta del </w:t>
      </w:r>
      <w:r w:rsidR="00EC5B5F" w:rsidRPr="00EC5B5F">
        <w:rPr>
          <w:rFonts w:ascii="Palatino Linotype" w:eastAsia="Times New Roman" w:hAnsi="Palatino Linotype" w:cs="Times New Roman"/>
          <w:b/>
          <w:sz w:val="24"/>
          <w:szCs w:val="24"/>
          <w:lang w:eastAsia="es-ES"/>
        </w:rPr>
        <w:t>Ayuntamiento de Aculco</w:t>
      </w:r>
      <w:r w:rsidRPr="00310843">
        <w:rPr>
          <w:rFonts w:ascii="Palatino Linotype" w:hAnsi="Palatino Linotype" w:cs="Arial"/>
          <w:sz w:val="24"/>
          <w:szCs w:val="24"/>
        </w:rPr>
        <w:t xml:space="preserve">, </w:t>
      </w:r>
      <w:r w:rsidRPr="00310843">
        <w:rPr>
          <w:rFonts w:ascii="Palatino Linotype" w:hAnsi="Palatino Linotype" w:cs="Arial"/>
          <w:sz w:val="24"/>
          <w:szCs w:val="24"/>
        </w:rPr>
        <w:lastRenderedPageBreak/>
        <w:t xml:space="preserve">procedimiento al que se le asignó el número de expediente </w:t>
      </w:r>
      <w:r w:rsidRPr="00310843">
        <w:rPr>
          <w:rFonts w:ascii="Palatino Linotype" w:hAnsi="Palatino Linotype" w:cs="Arial"/>
          <w:b/>
          <w:bCs/>
          <w:sz w:val="24"/>
          <w:szCs w:val="24"/>
        </w:rPr>
        <w:t>0</w:t>
      </w:r>
      <w:r w:rsidR="00EC5B5F">
        <w:rPr>
          <w:rFonts w:ascii="Palatino Linotype" w:hAnsi="Palatino Linotype" w:cs="Arial"/>
          <w:b/>
          <w:bCs/>
          <w:sz w:val="24"/>
          <w:szCs w:val="24"/>
        </w:rPr>
        <w:t>2557</w:t>
      </w:r>
      <w:r w:rsidRPr="00310843">
        <w:rPr>
          <w:rFonts w:ascii="Palatino Linotype" w:hAnsi="Palatino Linotype" w:cs="Arial"/>
          <w:b/>
          <w:bCs/>
          <w:sz w:val="24"/>
          <w:szCs w:val="24"/>
        </w:rPr>
        <w:t>/INFOEM/IP/RR/201</w:t>
      </w:r>
      <w:r>
        <w:rPr>
          <w:rFonts w:ascii="Palatino Linotype" w:hAnsi="Palatino Linotype" w:cs="Arial"/>
          <w:b/>
          <w:bCs/>
          <w:sz w:val="24"/>
          <w:szCs w:val="24"/>
        </w:rPr>
        <w:t>9</w:t>
      </w:r>
      <w:r w:rsidRPr="00310843">
        <w:rPr>
          <w:rFonts w:ascii="Palatino Linotype" w:hAnsi="Palatino Linotype" w:cs="Arial"/>
          <w:b/>
          <w:bCs/>
          <w:sz w:val="24"/>
          <w:szCs w:val="24"/>
        </w:rPr>
        <w:t>.</w:t>
      </w:r>
    </w:p>
    <w:p w:rsidR="002A3FC6" w:rsidRPr="00310843" w:rsidRDefault="002A3FC6" w:rsidP="002A3FC6">
      <w:pPr>
        <w:spacing w:after="0" w:line="360" w:lineRule="auto"/>
        <w:contextualSpacing/>
        <w:jc w:val="both"/>
        <w:rPr>
          <w:rFonts w:ascii="Palatino Linotype" w:hAnsi="Palatino Linotype" w:cs="Arial"/>
          <w:b/>
          <w:sz w:val="24"/>
          <w:szCs w:val="24"/>
        </w:rPr>
      </w:pPr>
    </w:p>
    <w:p w:rsidR="00F940D3" w:rsidRDefault="00F940D3" w:rsidP="002A3FC6">
      <w:pPr>
        <w:numPr>
          <w:ilvl w:val="0"/>
          <w:numId w:val="1"/>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Se determina puntualmente el </w:t>
      </w:r>
      <w:r w:rsidRPr="00F940D3">
        <w:rPr>
          <w:rFonts w:ascii="Palatino Linotype" w:hAnsi="Palatino Linotype" w:cs="Arial"/>
          <w:b/>
          <w:sz w:val="24"/>
          <w:szCs w:val="24"/>
        </w:rPr>
        <w:t>SOBRESEIMIENTO</w:t>
      </w:r>
      <w:r>
        <w:rPr>
          <w:rFonts w:ascii="Palatino Linotype" w:hAnsi="Palatino Linotype" w:cs="Arial"/>
          <w:sz w:val="24"/>
          <w:szCs w:val="24"/>
        </w:rPr>
        <w:t xml:space="preserve"> del </w:t>
      </w:r>
      <w:r w:rsidRPr="00310843">
        <w:rPr>
          <w:rFonts w:ascii="Palatino Linotype" w:hAnsi="Palatino Linotype" w:cs="Arial"/>
          <w:sz w:val="24"/>
          <w:szCs w:val="24"/>
        </w:rPr>
        <w:t>recurso de revisión, en términos del Considerando</w:t>
      </w:r>
      <w:r>
        <w:rPr>
          <w:rFonts w:ascii="Palatino Linotype" w:hAnsi="Palatino Linotype" w:cs="Arial"/>
          <w:b/>
          <w:sz w:val="24"/>
          <w:szCs w:val="24"/>
        </w:rPr>
        <w:t xml:space="preserve"> QUINTO</w:t>
      </w:r>
      <w:r w:rsidRPr="00F940D3">
        <w:rPr>
          <w:rFonts w:ascii="Palatino Linotype" w:eastAsia="Times New Roman" w:hAnsi="Palatino Linotype" w:cs="Arial"/>
          <w:color w:val="000000"/>
          <w:sz w:val="24"/>
          <w:szCs w:val="24"/>
          <w:lang w:eastAsia="es-ES"/>
        </w:rPr>
        <w:t xml:space="preserve"> de la resolución</w:t>
      </w:r>
      <w:r>
        <w:rPr>
          <w:rFonts w:ascii="Palatino Linotype" w:eastAsia="Times New Roman" w:hAnsi="Palatino Linotype" w:cs="Arial"/>
          <w:color w:val="000000"/>
          <w:sz w:val="24"/>
          <w:szCs w:val="24"/>
          <w:lang w:eastAsia="es-ES"/>
        </w:rPr>
        <w:t>.</w:t>
      </w:r>
    </w:p>
    <w:p w:rsidR="002A3FC6" w:rsidRPr="00310843" w:rsidRDefault="002A3FC6" w:rsidP="002A3FC6">
      <w:pPr>
        <w:spacing w:after="0" w:line="360" w:lineRule="auto"/>
        <w:contextualSpacing/>
        <w:jc w:val="both"/>
        <w:rPr>
          <w:rFonts w:ascii="Palatino Linotype" w:hAnsi="Palatino Linotype" w:cs="Arial"/>
          <w:sz w:val="24"/>
          <w:szCs w:val="24"/>
        </w:rPr>
      </w:pPr>
    </w:p>
    <w:p w:rsidR="002A3FC6" w:rsidRPr="00310843" w:rsidRDefault="002A3FC6" w:rsidP="002A3FC6">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 xml:space="preserve">Por tal motivo y en términos de lo señalado por el artículo 14 fracción XI del Reglamento Interior del Instituto de Transparencia y Acceso a la Información Pública del Estado de México y Municipios formulo la presente voto particular. </w:t>
      </w:r>
    </w:p>
    <w:p w:rsidR="002A3FC6" w:rsidRPr="00310843" w:rsidRDefault="002A3FC6" w:rsidP="002A3FC6">
      <w:pPr>
        <w:contextualSpacing/>
        <w:rPr>
          <w:rFonts w:ascii="Palatino Linotype" w:hAnsi="Palatino Linotype" w:cs="Arial"/>
          <w:sz w:val="24"/>
          <w:szCs w:val="24"/>
        </w:rPr>
      </w:pPr>
    </w:p>
    <w:p w:rsidR="002A3FC6" w:rsidRPr="00310843" w:rsidRDefault="002A3FC6" w:rsidP="002A3FC6">
      <w:pPr>
        <w:keepNext/>
        <w:keepLines/>
        <w:numPr>
          <w:ilvl w:val="0"/>
          <w:numId w:val="2"/>
        </w:numPr>
        <w:spacing w:before="240" w:after="0"/>
        <w:ind w:left="0" w:firstLine="0"/>
        <w:outlineLvl w:val="0"/>
        <w:rPr>
          <w:rFonts w:ascii="Palatino Linotype" w:eastAsiaTheme="majorEastAsia" w:hAnsi="Palatino Linotype" w:cstheme="majorBidi"/>
          <w:b/>
          <w:sz w:val="24"/>
          <w:szCs w:val="32"/>
        </w:rPr>
      </w:pPr>
      <w:bookmarkStart w:id="1" w:name="_Toc2012869"/>
      <w:r w:rsidRPr="00310843">
        <w:rPr>
          <w:rFonts w:ascii="Palatino Linotype" w:eastAsiaTheme="majorEastAsia" w:hAnsi="Palatino Linotype" w:cstheme="majorBidi"/>
          <w:b/>
          <w:sz w:val="24"/>
          <w:szCs w:val="32"/>
        </w:rPr>
        <w:t>Del Procedimiento de Acceso a la Información Pública.</w:t>
      </w:r>
      <w:bookmarkEnd w:id="1"/>
    </w:p>
    <w:p w:rsidR="002A3FC6" w:rsidRPr="00310843" w:rsidRDefault="002A3FC6" w:rsidP="002A3FC6"/>
    <w:p w:rsidR="002A3FC6" w:rsidRPr="00310843" w:rsidRDefault="002A3FC6" w:rsidP="002A3FC6">
      <w:pPr>
        <w:numPr>
          <w:ilvl w:val="0"/>
          <w:numId w:val="1"/>
        </w:numPr>
        <w:spacing w:before="240" w:after="24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 xml:space="preserve">En primer lugar, todo </w:t>
      </w:r>
      <w:r w:rsidRPr="00310843">
        <w:rPr>
          <w:rFonts w:ascii="Palatino Linotype" w:hAnsi="Palatino Linotype" w:cs="Arial"/>
          <w:b/>
          <w:sz w:val="24"/>
          <w:szCs w:val="24"/>
        </w:rPr>
        <w:t xml:space="preserve">SUJETO OBLIGADO, </w:t>
      </w:r>
      <w:r w:rsidRPr="00310843">
        <w:rPr>
          <w:rFonts w:ascii="Palatino Linotype" w:hAnsi="Palatino Linotype" w:cs="Arial"/>
          <w:sz w:val="24"/>
          <w:szCs w:val="24"/>
        </w:rPr>
        <w:t xml:space="preserve">debe tener presente que la </w:t>
      </w:r>
      <w:r w:rsidRPr="00310843">
        <w:rPr>
          <w:rFonts w:ascii="Palatino Linotype" w:hAnsi="Palatino Linotype" w:cs="Arial"/>
          <w:b/>
          <w:sz w:val="24"/>
          <w:szCs w:val="24"/>
        </w:rPr>
        <w:t xml:space="preserve">Ley de Transparencia y Acceso a la Información Pública del Estado de México y Municipios, </w:t>
      </w:r>
      <w:r w:rsidRPr="00310843">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y expedita propiciando las condiciones para el acceso, entrega y publicación de información. </w:t>
      </w:r>
    </w:p>
    <w:p w:rsidR="002A3FC6" w:rsidRPr="00310843" w:rsidRDefault="002A3FC6" w:rsidP="002A3FC6">
      <w:pPr>
        <w:spacing w:before="240" w:after="240" w:line="360" w:lineRule="auto"/>
        <w:contextualSpacing/>
        <w:jc w:val="both"/>
        <w:rPr>
          <w:rFonts w:ascii="Palatino Linotype" w:hAnsi="Palatino Linotype" w:cs="Arial"/>
          <w:sz w:val="24"/>
          <w:szCs w:val="24"/>
        </w:rPr>
      </w:pPr>
    </w:p>
    <w:p w:rsidR="002A3FC6" w:rsidRDefault="002A3FC6" w:rsidP="002A3FC6">
      <w:pPr>
        <w:numPr>
          <w:ilvl w:val="0"/>
          <w:numId w:val="1"/>
        </w:numPr>
        <w:spacing w:before="240" w:after="24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El recurrente </w:t>
      </w:r>
      <w:r w:rsidRPr="00310843">
        <w:rPr>
          <w:rFonts w:ascii="Palatino Linotype" w:hAnsi="Palatino Linotype" w:cs="Arial"/>
          <w:sz w:val="24"/>
          <w:szCs w:val="24"/>
        </w:rPr>
        <w:t xml:space="preserve">solicitó al Sujeto Obligado lo siguiente: </w:t>
      </w:r>
    </w:p>
    <w:p w:rsidR="002A3FC6" w:rsidRDefault="002A3FC6" w:rsidP="002A3FC6">
      <w:pPr>
        <w:ind w:left="567" w:right="616"/>
        <w:contextualSpacing/>
        <w:rPr>
          <w:rFonts w:ascii="Palatino Linotype" w:hAnsi="Palatino Linotype" w:cs="Arial"/>
          <w:i/>
          <w:sz w:val="24"/>
          <w:szCs w:val="24"/>
        </w:rPr>
      </w:pPr>
    </w:p>
    <w:p w:rsidR="002A3FC6" w:rsidRPr="00F940D3" w:rsidRDefault="002A3FC6" w:rsidP="00F940D3">
      <w:pPr>
        <w:ind w:left="567" w:right="616"/>
        <w:contextualSpacing/>
        <w:jc w:val="both"/>
        <w:rPr>
          <w:rFonts w:ascii="Palatino Linotype" w:hAnsi="Palatino Linotype" w:cs="Arial"/>
          <w:i/>
          <w:sz w:val="24"/>
          <w:szCs w:val="24"/>
        </w:rPr>
      </w:pPr>
      <w:r w:rsidRPr="00310843">
        <w:rPr>
          <w:rFonts w:ascii="Palatino Linotype" w:hAnsi="Palatino Linotype" w:cs="Arial"/>
          <w:i/>
          <w:sz w:val="24"/>
          <w:szCs w:val="24"/>
        </w:rPr>
        <w:lastRenderedPageBreak/>
        <w:t>“</w:t>
      </w:r>
      <w:r w:rsidR="00EC5B5F" w:rsidRPr="00EC5B5F">
        <w:rPr>
          <w:rFonts w:ascii="Palatino Linotype" w:eastAsia="Times New Roman" w:hAnsi="Palatino Linotype" w:cs="Arial"/>
          <w:i/>
          <w:lang w:eastAsia="es-ES"/>
        </w:rPr>
        <w:t>Solicito el registro y/o listado de servidores públicos que participaron en el alcoholímetro y/o reten y/o similar o análogo en fecha 15 de febrero de 2019</w:t>
      </w:r>
      <w:r w:rsidRPr="00310843">
        <w:rPr>
          <w:rFonts w:ascii="Palatino Linotype" w:hAnsi="Palatino Linotype" w:cs="Arial"/>
          <w:i/>
          <w:sz w:val="24"/>
          <w:szCs w:val="24"/>
        </w:rPr>
        <w:t>.” (Sic).</w:t>
      </w:r>
    </w:p>
    <w:p w:rsidR="00EC5B5F" w:rsidRPr="00EC5B5F" w:rsidRDefault="00EC5B5F" w:rsidP="00EC5B5F">
      <w:pPr>
        <w:pStyle w:val="Prrafodelista"/>
        <w:spacing w:line="360" w:lineRule="auto"/>
        <w:ind w:left="0"/>
        <w:jc w:val="both"/>
        <w:rPr>
          <w:rFonts w:ascii="Palatino Linotype" w:eastAsia="MS Mincho" w:hAnsi="Palatino Linotype" w:cs="Times New Roman"/>
          <w:sz w:val="24"/>
          <w:szCs w:val="24"/>
          <w:lang w:val="es-ES_tradnl" w:eastAsia="es-ES"/>
        </w:rPr>
      </w:pPr>
    </w:p>
    <w:p w:rsidR="00EC5B5F" w:rsidRPr="00EC5B5F" w:rsidRDefault="002A3FC6" w:rsidP="00EC5B5F">
      <w:pPr>
        <w:pStyle w:val="Prrafodelista"/>
        <w:numPr>
          <w:ilvl w:val="0"/>
          <w:numId w:val="1"/>
        </w:numPr>
        <w:spacing w:line="360" w:lineRule="auto"/>
        <w:ind w:left="0" w:firstLine="0"/>
        <w:jc w:val="both"/>
        <w:rPr>
          <w:rFonts w:ascii="Palatino Linotype" w:eastAsia="MS Mincho" w:hAnsi="Palatino Linotype" w:cs="Times New Roman"/>
          <w:sz w:val="24"/>
          <w:szCs w:val="24"/>
          <w:lang w:val="es-ES_tradnl" w:eastAsia="es-ES"/>
        </w:rPr>
      </w:pPr>
      <w:r w:rsidRPr="00EC5B5F">
        <w:rPr>
          <w:rFonts w:ascii="Palatino Linotype" w:hAnsi="Palatino Linotype" w:cs="Arial"/>
          <w:sz w:val="24"/>
          <w:szCs w:val="24"/>
        </w:rPr>
        <w:t xml:space="preserve">El Sujeto Obligado en su respuesta refirió </w:t>
      </w:r>
      <w:r w:rsidR="00EC5B5F" w:rsidRPr="00EC5B5F">
        <w:rPr>
          <w:rFonts w:ascii="Palatino Linotype" w:hAnsi="Palatino Linotype" w:cs="Arial"/>
          <w:sz w:val="24"/>
          <w:szCs w:val="24"/>
        </w:rPr>
        <w:t>en términos generales que no se proporcionaba la información en razón de que la misma se encontraba clasificada como confidencial por contener datos personales.</w:t>
      </w:r>
    </w:p>
    <w:p w:rsidR="00EC5B5F" w:rsidRPr="00EC5B5F" w:rsidRDefault="00EC5B5F" w:rsidP="00EC5B5F">
      <w:pPr>
        <w:pStyle w:val="Prrafodelista"/>
        <w:spacing w:line="360" w:lineRule="auto"/>
        <w:ind w:left="0"/>
        <w:jc w:val="both"/>
        <w:rPr>
          <w:rFonts w:ascii="Palatino Linotype" w:eastAsia="MS Mincho" w:hAnsi="Palatino Linotype" w:cs="Times New Roman"/>
          <w:sz w:val="24"/>
          <w:szCs w:val="24"/>
          <w:lang w:val="es-ES_tradnl" w:eastAsia="es-ES"/>
        </w:rPr>
      </w:pPr>
    </w:p>
    <w:p w:rsidR="00EC5B5F" w:rsidRPr="0068468C" w:rsidRDefault="00EC5B5F" w:rsidP="002A3FC6">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Arial"/>
          <w:sz w:val="24"/>
          <w:szCs w:val="24"/>
          <w:lang w:val="es-ES"/>
        </w:rPr>
      </w:pPr>
      <w:r>
        <w:rPr>
          <w:rFonts w:ascii="Palatino Linotype" w:hAnsi="Palatino Linotype" w:cs="Arial"/>
          <w:sz w:val="24"/>
          <w:szCs w:val="24"/>
          <w:lang w:val="es-ES"/>
        </w:rPr>
        <w:t xml:space="preserve">Estando en tiempo y forma la solicitante presente su medio de impugnación mediante el cual manifestó como motivos de inconformidad: </w:t>
      </w:r>
      <w:r w:rsidRPr="0068468C">
        <w:rPr>
          <w:rFonts w:ascii="Palatino Linotype" w:eastAsia="Times New Roman" w:hAnsi="Palatino Linotype" w:cs="Arial"/>
          <w:i/>
          <w:sz w:val="24"/>
          <w:szCs w:val="24"/>
          <w:lang w:eastAsia="es-MX"/>
        </w:rPr>
        <w:t xml:space="preserve">“Pido la suplencia de la deficiencia de la queja y argumento que la información peticionada no </w:t>
      </w:r>
      <w:proofErr w:type="spellStart"/>
      <w:r w:rsidRPr="0068468C">
        <w:rPr>
          <w:rFonts w:ascii="Palatino Linotype" w:eastAsia="Times New Roman" w:hAnsi="Palatino Linotype" w:cs="Arial"/>
          <w:i/>
          <w:sz w:val="24"/>
          <w:szCs w:val="24"/>
          <w:lang w:eastAsia="es-MX"/>
        </w:rPr>
        <w:t>esta</w:t>
      </w:r>
      <w:proofErr w:type="spellEnd"/>
      <w:r w:rsidRPr="0068468C">
        <w:rPr>
          <w:rFonts w:ascii="Palatino Linotype" w:eastAsia="Times New Roman" w:hAnsi="Palatino Linotype" w:cs="Arial"/>
          <w:i/>
          <w:sz w:val="24"/>
          <w:szCs w:val="24"/>
          <w:lang w:eastAsia="es-MX"/>
        </w:rPr>
        <w:t xml:space="preserve"> en ninguna de las hipótesis para clasificarla y por ende puede entregarse”</w:t>
      </w:r>
    </w:p>
    <w:p w:rsidR="00EC5B5F" w:rsidRPr="00EC5B5F" w:rsidRDefault="00EC5B5F" w:rsidP="00EC5B5F">
      <w:pPr>
        <w:pStyle w:val="Prrafodelista"/>
        <w:rPr>
          <w:rFonts w:ascii="Palatino Linotype" w:hAnsi="Palatino Linotype" w:cs="Arial"/>
          <w:sz w:val="24"/>
          <w:szCs w:val="24"/>
          <w:lang w:val="es-ES"/>
        </w:rPr>
      </w:pPr>
    </w:p>
    <w:p w:rsidR="00EC5B5F" w:rsidRPr="00EC5B5F" w:rsidRDefault="002A3FC6" w:rsidP="00EC5B5F">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Arial"/>
          <w:sz w:val="24"/>
          <w:szCs w:val="24"/>
          <w:lang w:val="es-ES"/>
        </w:rPr>
      </w:pPr>
      <w:r w:rsidRPr="00EC5B5F">
        <w:rPr>
          <w:rFonts w:ascii="Palatino Linotype" w:hAnsi="Palatino Linotype" w:cs="Arial"/>
          <w:sz w:val="24"/>
          <w:szCs w:val="24"/>
          <w:lang w:val="es-ES"/>
        </w:rPr>
        <w:t xml:space="preserve"> </w:t>
      </w:r>
      <w:r w:rsidR="00EC5B5F">
        <w:rPr>
          <w:rFonts w:ascii="Palatino Linotype" w:hAnsi="Palatino Linotype" w:cs="Arial"/>
          <w:sz w:val="24"/>
          <w:szCs w:val="24"/>
          <w:lang w:val="es-ES"/>
        </w:rPr>
        <w:t xml:space="preserve">El </w:t>
      </w:r>
      <w:r w:rsidRPr="00EC5B5F">
        <w:rPr>
          <w:rFonts w:ascii="Palatino Linotype" w:hAnsi="Palatino Linotype" w:cs="Arial"/>
          <w:b/>
          <w:sz w:val="24"/>
          <w:szCs w:val="24"/>
          <w:lang w:val="es-ES"/>
        </w:rPr>
        <w:t>SUJETO OBLIGADO</w:t>
      </w:r>
      <w:r w:rsidRPr="00EC5B5F">
        <w:rPr>
          <w:rFonts w:ascii="Palatino Linotype" w:hAnsi="Palatino Linotype" w:cs="Arial"/>
          <w:sz w:val="24"/>
          <w:szCs w:val="24"/>
          <w:lang w:val="es-ES"/>
        </w:rPr>
        <w:t xml:space="preserve"> presentó su</w:t>
      </w:r>
      <w:r w:rsidR="00EC5B5F">
        <w:rPr>
          <w:rFonts w:ascii="Palatino Linotype" w:hAnsi="Palatino Linotype" w:cs="Arial"/>
          <w:sz w:val="24"/>
          <w:szCs w:val="24"/>
          <w:lang w:val="es-ES"/>
        </w:rPr>
        <w:t xml:space="preserve"> respectivo informe justificado</w:t>
      </w:r>
      <w:r w:rsidR="00EC5B5F" w:rsidRPr="00EC5B5F">
        <w:rPr>
          <w:rFonts w:ascii="Palatino Linotype" w:eastAsia="Times New Roman" w:hAnsi="Palatino Linotype" w:cs="Arial"/>
          <w:sz w:val="24"/>
          <w:szCs w:val="24"/>
          <w:lang w:eastAsia="es-ES"/>
        </w:rPr>
        <w:t xml:space="preserve">, mismo que se puso a la vista de </w:t>
      </w:r>
      <w:r w:rsidR="00EC5B5F" w:rsidRPr="00EC5B5F">
        <w:rPr>
          <w:rFonts w:ascii="Palatino Linotype" w:eastAsia="Times New Roman" w:hAnsi="Palatino Linotype" w:cs="Arial"/>
          <w:b/>
          <w:sz w:val="24"/>
          <w:szCs w:val="24"/>
          <w:lang w:eastAsia="es-ES"/>
        </w:rPr>
        <w:t>LA RECURRENTE</w:t>
      </w:r>
      <w:r w:rsidR="00EC5B5F" w:rsidRPr="00EC5B5F">
        <w:rPr>
          <w:rFonts w:ascii="Palatino Linotype" w:eastAsia="Times New Roman" w:hAnsi="Palatino Linotype" w:cs="Arial"/>
          <w:sz w:val="24"/>
          <w:szCs w:val="24"/>
          <w:lang w:eastAsia="es-ES"/>
        </w:rPr>
        <w:t xml:space="preserve"> atento a lo dispuesto en el artículo 185, fracciones III, de </w:t>
      </w:r>
      <w:r w:rsidR="00EC5B5F" w:rsidRPr="00EC5B5F">
        <w:rPr>
          <w:rFonts w:ascii="Palatino Linotype" w:eastAsia="Times New Roman" w:hAnsi="Palatino Linotype" w:cs="Times New Roman"/>
          <w:sz w:val="24"/>
          <w:szCs w:val="24"/>
          <w:lang w:eastAsia="es-ES"/>
        </w:rPr>
        <w:t>la</w:t>
      </w:r>
      <w:r w:rsidR="00EC5B5F" w:rsidRPr="00EC5B5F">
        <w:rPr>
          <w:rFonts w:ascii="Palatino Linotype" w:eastAsia="Times New Roman" w:hAnsi="Palatino Linotype" w:cs="Arial"/>
          <w:sz w:val="24"/>
          <w:szCs w:val="24"/>
          <w:lang w:eastAsia="es-ES"/>
        </w:rPr>
        <w:t xml:space="preserve"> </w:t>
      </w:r>
      <w:r w:rsidR="00EC5B5F" w:rsidRPr="00EC5B5F">
        <w:rPr>
          <w:rFonts w:ascii="Palatino Linotype" w:eastAsia="Times New Roman" w:hAnsi="Palatino Linotype" w:cs="Times New Roman"/>
          <w:sz w:val="24"/>
          <w:szCs w:val="24"/>
          <w:lang w:eastAsia="es-ES"/>
        </w:rPr>
        <w:t xml:space="preserve">Ley de Transparencia y Acceso a la Información Pública del Estado de </w:t>
      </w:r>
      <w:r w:rsidR="00EC5B5F" w:rsidRPr="00EC5B5F">
        <w:rPr>
          <w:rFonts w:ascii="Palatino Linotype" w:eastAsia="Times New Roman" w:hAnsi="Palatino Linotype" w:cs="Arial"/>
          <w:sz w:val="24"/>
          <w:szCs w:val="24"/>
          <w:lang w:eastAsia="es-ES"/>
        </w:rPr>
        <w:t>México</w:t>
      </w:r>
      <w:r w:rsidR="00EC5B5F" w:rsidRPr="00EC5B5F">
        <w:rPr>
          <w:rFonts w:ascii="Palatino Linotype" w:eastAsia="Times New Roman" w:hAnsi="Palatino Linotype" w:cs="Times New Roman"/>
          <w:sz w:val="24"/>
          <w:szCs w:val="24"/>
          <w:lang w:eastAsia="es-ES"/>
        </w:rPr>
        <w:t xml:space="preserve"> y Municipios</w:t>
      </w:r>
      <w:r w:rsidR="00EC5B5F">
        <w:rPr>
          <w:rFonts w:ascii="Palatino Linotype" w:hAnsi="Palatino Linotype" w:cs="Arial"/>
          <w:sz w:val="24"/>
          <w:szCs w:val="24"/>
          <w:lang w:val="es-ES"/>
        </w:rPr>
        <w:t>, mediante el cual se proporcionó el nombre de los servidores públicos que participaron en el operativo denominado “conduce son alcohol”</w:t>
      </w:r>
      <w:r w:rsidR="006A0ED2">
        <w:rPr>
          <w:rFonts w:ascii="Palatino Linotype" w:hAnsi="Palatino Linotype" w:cs="Arial"/>
          <w:sz w:val="24"/>
          <w:szCs w:val="24"/>
          <w:lang w:val="es-ES"/>
        </w:rPr>
        <w:t>, llevado a cabo el día 15 de febrero de 2019.</w:t>
      </w:r>
    </w:p>
    <w:p w:rsidR="00EC5B5F" w:rsidRPr="00EC5B5F" w:rsidRDefault="00EC5B5F" w:rsidP="00EC5B5F">
      <w:pPr>
        <w:pStyle w:val="Prrafodelista"/>
        <w:rPr>
          <w:rFonts w:ascii="Palatino Linotype" w:hAnsi="Palatino Linotype" w:cs="Arial"/>
          <w:sz w:val="24"/>
          <w:szCs w:val="24"/>
          <w:lang w:val="es-ES"/>
        </w:rPr>
      </w:pPr>
    </w:p>
    <w:p w:rsidR="006A0ED2" w:rsidRPr="006A0ED2" w:rsidRDefault="006A0ED2" w:rsidP="002A3FC6">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Arial"/>
          <w:sz w:val="24"/>
          <w:szCs w:val="24"/>
          <w:lang w:val="es-ES"/>
        </w:rPr>
      </w:pPr>
      <w:r>
        <w:rPr>
          <w:rFonts w:ascii="Palatino Linotype" w:hAnsi="Palatino Linotype" w:cs="Arial"/>
          <w:sz w:val="24"/>
          <w:szCs w:val="24"/>
          <w:lang w:val="es-ES"/>
        </w:rPr>
        <w:t xml:space="preserve">Posteriormente </w:t>
      </w:r>
      <w:r w:rsidRPr="006A0ED2">
        <w:rPr>
          <w:rFonts w:ascii="Palatino Linotype" w:eastAsia="Times New Roman" w:hAnsi="Palatino Linotype" w:cs="Arial"/>
          <w:sz w:val="24"/>
          <w:szCs w:val="24"/>
          <w:lang w:val="es-ES_tradnl" w:eastAsia="es-ES"/>
        </w:rPr>
        <w:t xml:space="preserve">fecha </w:t>
      </w:r>
      <w:r w:rsidRPr="006A0ED2">
        <w:rPr>
          <w:rFonts w:ascii="Palatino Linotype" w:eastAsia="Times New Roman" w:hAnsi="Palatino Linotype" w:cs="Times New Roman"/>
          <w:sz w:val="24"/>
          <w:szCs w:val="24"/>
          <w:lang w:eastAsia="es-ES"/>
        </w:rPr>
        <w:t>ocho de mayo de dos mil diecinueve</w:t>
      </w:r>
      <w:r w:rsidRPr="006A0ED2">
        <w:rPr>
          <w:rFonts w:ascii="Palatino Linotype" w:eastAsia="Times New Roman" w:hAnsi="Palatino Linotype" w:cs="Arial"/>
          <w:sz w:val="24"/>
          <w:szCs w:val="24"/>
          <w:lang w:val="es-ES_tradnl" w:eastAsia="es-ES"/>
        </w:rPr>
        <w:t xml:space="preserve">, mediante el Sistema automático del </w:t>
      </w:r>
      <w:r w:rsidRPr="006A0ED2">
        <w:rPr>
          <w:rFonts w:ascii="Palatino Linotype" w:eastAsia="Times New Roman" w:hAnsi="Palatino Linotype" w:cs="Arial"/>
          <w:b/>
          <w:sz w:val="24"/>
          <w:szCs w:val="24"/>
          <w:lang w:val="es-ES_tradnl" w:eastAsia="es-ES"/>
        </w:rPr>
        <w:t>SAIMEX</w:t>
      </w:r>
      <w:r w:rsidRPr="006A0ED2">
        <w:rPr>
          <w:rFonts w:ascii="Palatino Linotype" w:eastAsia="Times New Roman" w:hAnsi="Palatino Linotype" w:cs="Arial"/>
          <w:sz w:val="24"/>
          <w:szCs w:val="24"/>
          <w:lang w:val="es-ES_tradnl" w:eastAsia="es-ES"/>
        </w:rPr>
        <w:t xml:space="preserve">, </w:t>
      </w:r>
      <w:r w:rsidRPr="006A0ED2">
        <w:rPr>
          <w:rFonts w:ascii="Palatino Linotype" w:eastAsia="Times New Roman" w:hAnsi="Palatino Linotype" w:cs="Arial"/>
          <w:b/>
          <w:sz w:val="24"/>
          <w:szCs w:val="24"/>
          <w:lang w:eastAsia="es-ES"/>
        </w:rPr>
        <w:t>LA RECURRENTE</w:t>
      </w:r>
      <w:r w:rsidRPr="006A0ED2">
        <w:rPr>
          <w:rFonts w:ascii="Palatino Linotype" w:eastAsia="Times New Roman" w:hAnsi="Palatino Linotype" w:cs="Arial"/>
          <w:sz w:val="24"/>
          <w:szCs w:val="24"/>
          <w:lang w:val="es-ES_tradnl" w:eastAsia="es-ES"/>
        </w:rPr>
        <w:t xml:space="preserve"> presentó su desistimiento respecto del presente recurso de revisión; tal y como, se muestra a continuación</w:t>
      </w:r>
      <w:r>
        <w:rPr>
          <w:rFonts w:ascii="Palatino Linotype" w:eastAsia="Times New Roman" w:hAnsi="Palatino Linotype" w:cs="Arial"/>
          <w:sz w:val="24"/>
          <w:szCs w:val="24"/>
          <w:lang w:val="es-ES_tradnl" w:eastAsia="es-ES"/>
        </w:rPr>
        <w:t>:</w:t>
      </w:r>
    </w:p>
    <w:p w:rsidR="00F940D3" w:rsidRPr="00EC5B5F" w:rsidRDefault="00F940D3" w:rsidP="006A0ED2">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p>
    <w:p w:rsidR="00F940D3" w:rsidRDefault="00170936" w:rsidP="006A0ED2">
      <w:pPr>
        <w:pStyle w:val="Prrafodelista"/>
        <w:ind w:left="0" w:right="616"/>
        <w:rPr>
          <w:rFonts w:ascii="Palatino Linotype" w:hAnsi="Palatino Linotype" w:cs="Arial"/>
          <w:sz w:val="24"/>
          <w:szCs w:val="24"/>
          <w:lang w:val="es-ES"/>
        </w:rPr>
      </w:pPr>
      <w:r w:rsidRPr="00170936">
        <w:rPr>
          <w:rFonts w:ascii="Palatino Linotype" w:hAnsi="Palatino Linotype" w:cs="Arial"/>
          <w:noProof/>
          <w:sz w:val="24"/>
          <w:szCs w:val="24"/>
          <w:lang w:eastAsia="es-MX"/>
        </w:rPr>
        <w:drawing>
          <wp:inline distT="0" distB="0" distL="0" distR="0">
            <wp:extent cx="5605336" cy="47637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1230" cy="477728"/>
                    </a:xfrm>
                    <a:prstGeom prst="rect">
                      <a:avLst/>
                    </a:prstGeom>
                    <a:noFill/>
                    <a:ln>
                      <a:noFill/>
                    </a:ln>
                  </pic:spPr>
                </pic:pic>
              </a:graphicData>
            </a:graphic>
          </wp:inline>
        </w:drawing>
      </w:r>
    </w:p>
    <w:p w:rsidR="00F940D3" w:rsidRDefault="00F940D3" w:rsidP="00F940D3">
      <w:pPr>
        <w:pStyle w:val="Prrafodelista"/>
        <w:rPr>
          <w:rFonts w:ascii="Palatino Linotype" w:hAnsi="Palatino Linotype" w:cs="Arial"/>
          <w:sz w:val="24"/>
          <w:szCs w:val="24"/>
          <w:lang w:val="es-ES"/>
        </w:rPr>
      </w:pPr>
    </w:p>
    <w:p w:rsidR="006A0ED2" w:rsidRPr="006A0ED2" w:rsidRDefault="00170936" w:rsidP="006A0ED2">
      <w:pPr>
        <w:pStyle w:val="Prrafodelista"/>
        <w:widowControl w:val="0"/>
        <w:autoSpaceDE w:val="0"/>
        <w:autoSpaceDN w:val="0"/>
        <w:adjustRightInd w:val="0"/>
        <w:spacing w:line="360" w:lineRule="auto"/>
        <w:ind w:left="0"/>
        <w:jc w:val="both"/>
        <w:rPr>
          <w:rFonts w:ascii="Palatino Linotype" w:eastAsia="Times New Roman" w:hAnsi="Palatino Linotype" w:cs="Arial"/>
          <w:sz w:val="24"/>
          <w:szCs w:val="24"/>
          <w:lang w:eastAsia="es-ES"/>
        </w:rPr>
      </w:pPr>
      <w:r w:rsidRPr="00170936">
        <w:rPr>
          <w:rFonts w:ascii="Palatino Linotype" w:eastAsia="Times New Roman" w:hAnsi="Palatino Linotype" w:cs="Arial"/>
          <w:noProof/>
          <w:sz w:val="24"/>
          <w:szCs w:val="24"/>
          <w:lang w:eastAsia="es-MX"/>
        </w:rPr>
        <w:drawing>
          <wp:inline distT="0" distB="0" distL="0" distR="0">
            <wp:extent cx="5612130" cy="3688801"/>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688801"/>
                    </a:xfrm>
                    <a:prstGeom prst="rect">
                      <a:avLst/>
                    </a:prstGeom>
                    <a:noFill/>
                    <a:ln>
                      <a:noFill/>
                    </a:ln>
                  </pic:spPr>
                </pic:pic>
              </a:graphicData>
            </a:graphic>
          </wp:inline>
        </w:drawing>
      </w:r>
    </w:p>
    <w:p w:rsidR="006A0ED2" w:rsidRPr="006A0ED2" w:rsidRDefault="006A0ED2" w:rsidP="006A0ED2">
      <w:pPr>
        <w:pStyle w:val="Prrafodelista"/>
        <w:widowControl w:val="0"/>
        <w:autoSpaceDE w:val="0"/>
        <w:autoSpaceDN w:val="0"/>
        <w:adjustRightInd w:val="0"/>
        <w:spacing w:line="360" w:lineRule="auto"/>
        <w:ind w:left="0"/>
        <w:jc w:val="both"/>
        <w:rPr>
          <w:rFonts w:ascii="Palatino Linotype" w:eastAsia="Times New Roman" w:hAnsi="Palatino Linotype" w:cs="Arial"/>
          <w:sz w:val="24"/>
          <w:szCs w:val="24"/>
          <w:lang w:eastAsia="es-ES"/>
        </w:rPr>
      </w:pPr>
    </w:p>
    <w:p w:rsidR="00D71B83" w:rsidRDefault="00D71B83" w:rsidP="00D71B83">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Arial"/>
          <w:sz w:val="24"/>
          <w:szCs w:val="24"/>
          <w:lang w:eastAsia="es-ES"/>
        </w:rPr>
      </w:pPr>
      <w:r w:rsidRPr="00D71B83">
        <w:rPr>
          <w:rFonts w:ascii="Palatino Linotype" w:hAnsi="Palatino Linotype" w:cs="Arial"/>
          <w:sz w:val="24"/>
          <w:szCs w:val="24"/>
          <w:lang w:val="es-ES"/>
        </w:rPr>
        <w:t xml:space="preserve">De lo anterior la Comisionada Ponente tuvo a bien </w:t>
      </w:r>
      <w:r w:rsidRPr="00D71B83">
        <w:rPr>
          <w:rFonts w:ascii="Palatino Linotype" w:eastAsia="Times New Roman" w:hAnsi="Palatino Linotype" w:cs="Arial"/>
          <w:color w:val="000000"/>
          <w:sz w:val="24"/>
          <w:szCs w:val="24"/>
          <w:lang w:eastAsia="es-MX"/>
        </w:rPr>
        <w:t xml:space="preserve">aclarar </w:t>
      </w:r>
      <w:r w:rsidR="006A0ED2">
        <w:rPr>
          <w:rFonts w:ascii="Palatino Linotype" w:eastAsia="Times New Roman" w:hAnsi="Palatino Linotype" w:cs="Arial"/>
          <w:color w:val="000000"/>
          <w:sz w:val="24"/>
          <w:szCs w:val="24"/>
          <w:lang w:eastAsia="es-MX"/>
        </w:rPr>
        <w:t xml:space="preserve">en el estudio de resolución </w:t>
      </w:r>
      <w:r w:rsidRPr="00D71B83">
        <w:rPr>
          <w:rFonts w:ascii="Palatino Linotype" w:eastAsia="Times New Roman" w:hAnsi="Palatino Linotype" w:cs="Arial"/>
          <w:color w:val="000000"/>
          <w:sz w:val="24"/>
          <w:szCs w:val="24"/>
          <w:lang w:eastAsia="es-MX"/>
        </w:rPr>
        <w:t>que</w:t>
      </w:r>
      <w:r w:rsidRPr="00D71B83">
        <w:rPr>
          <w:rFonts w:ascii="Palatino Linotype" w:eastAsia="Arial Unicode MS" w:hAnsi="Palatino Linotype" w:cs="Arial"/>
          <w:color w:val="000000"/>
          <w:sz w:val="24"/>
          <w:szCs w:val="24"/>
          <w:lang w:eastAsia="es-MX"/>
        </w:rPr>
        <w:t xml:space="preserve"> el desistimiento sólo pudo ser activado por </w:t>
      </w:r>
      <w:r w:rsidRPr="00D71B83">
        <w:rPr>
          <w:rFonts w:ascii="Palatino Linotype" w:eastAsia="Arial Unicode MS" w:hAnsi="Palatino Linotype" w:cs="Arial"/>
          <w:b/>
          <w:color w:val="000000"/>
          <w:sz w:val="24"/>
          <w:szCs w:val="24"/>
          <w:lang w:eastAsia="es-MX"/>
        </w:rPr>
        <w:t>LA</w:t>
      </w:r>
      <w:r w:rsidRPr="00D71B83">
        <w:rPr>
          <w:rFonts w:ascii="Palatino Linotype" w:eastAsia="Arial Unicode MS" w:hAnsi="Palatino Linotype" w:cs="Arial"/>
          <w:color w:val="000000"/>
          <w:sz w:val="24"/>
          <w:szCs w:val="24"/>
          <w:lang w:eastAsia="es-MX"/>
        </w:rPr>
        <w:t xml:space="preserve"> </w:t>
      </w:r>
      <w:r w:rsidRPr="00D71B83">
        <w:rPr>
          <w:rFonts w:ascii="Palatino Linotype" w:eastAsia="Arial Unicode MS" w:hAnsi="Palatino Linotype" w:cs="Arial"/>
          <w:b/>
          <w:color w:val="000000"/>
          <w:sz w:val="24"/>
          <w:szCs w:val="24"/>
          <w:lang w:eastAsia="es-MX"/>
        </w:rPr>
        <w:t>RECURRENTE</w:t>
      </w:r>
      <w:r w:rsidRPr="00D71B83">
        <w:rPr>
          <w:rFonts w:ascii="Palatino Linotype" w:eastAsia="Arial Unicode MS" w:hAnsi="Palatino Linotype" w:cs="Arial"/>
          <w:color w:val="000000"/>
          <w:sz w:val="24"/>
          <w:szCs w:val="24"/>
          <w:lang w:eastAsia="es-MX"/>
        </w:rPr>
        <w:t xml:space="preserve"> mediante el ingreso al </w:t>
      </w:r>
      <w:r w:rsidRPr="00D71B83">
        <w:rPr>
          <w:rFonts w:ascii="Palatino Linotype" w:eastAsia="Times New Roman" w:hAnsi="Palatino Linotype" w:cs="Arial"/>
          <w:sz w:val="24"/>
          <w:szCs w:val="24"/>
          <w:lang w:eastAsia="es-ES"/>
        </w:rPr>
        <w:t>Sistema</w:t>
      </w:r>
      <w:r w:rsidRPr="00D71B83">
        <w:rPr>
          <w:rFonts w:ascii="Palatino Linotype" w:eastAsia="Times New Roman" w:hAnsi="Palatino Linotype" w:cs="Times New Roman"/>
          <w:sz w:val="24"/>
          <w:szCs w:val="24"/>
          <w:lang w:eastAsia="es-ES"/>
        </w:rPr>
        <w:t xml:space="preserve"> de Acceso a la Información Mexiquense, mediante la utilización de </w:t>
      </w:r>
      <w:r w:rsidRPr="00D71B83">
        <w:rPr>
          <w:rFonts w:ascii="Palatino Linotype" w:eastAsia="Arial Unicode MS" w:hAnsi="Palatino Linotype" w:cs="Arial"/>
          <w:color w:val="000000"/>
          <w:sz w:val="24"/>
          <w:szCs w:val="24"/>
          <w:lang w:eastAsia="es-MX"/>
        </w:rPr>
        <w:t xml:space="preserve">su clave de usuario y contraseña, por lo que, no existe duda de que </w:t>
      </w:r>
      <w:r w:rsidRPr="00D71B83">
        <w:rPr>
          <w:rFonts w:ascii="Palatino Linotype" w:eastAsia="Times New Roman" w:hAnsi="Palatino Linotype" w:cs="Arial"/>
          <w:sz w:val="24"/>
          <w:szCs w:val="24"/>
          <w:lang w:val="es-ES_tradnl" w:eastAsia="es-ES"/>
        </w:rPr>
        <w:t>se</w:t>
      </w:r>
      <w:r w:rsidRPr="00D71B83">
        <w:rPr>
          <w:rFonts w:ascii="Palatino Linotype" w:eastAsia="Arial Unicode MS" w:hAnsi="Palatino Linotype" w:cs="Arial"/>
          <w:color w:val="000000"/>
          <w:sz w:val="24"/>
          <w:szCs w:val="24"/>
          <w:lang w:eastAsia="es-MX"/>
        </w:rPr>
        <w:t xml:space="preserve"> </w:t>
      </w:r>
      <w:r w:rsidRPr="00D71B83">
        <w:rPr>
          <w:rFonts w:ascii="Palatino Linotype" w:eastAsia="Times New Roman" w:hAnsi="Palatino Linotype" w:cs="Times New Roman"/>
          <w:sz w:val="24"/>
          <w:szCs w:val="24"/>
          <w:lang w:eastAsia="es-ES"/>
        </w:rPr>
        <w:t>trata</w:t>
      </w:r>
      <w:r w:rsidRPr="00D71B83">
        <w:rPr>
          <w:rFonts w:ascii="Palatino Linotype" w:eastAsia="Arial Unicode MS" w:hAnsi="Palatino Linotype" w:cs="Arial"/>
          <w:color w:val="000000"/>
          <w:sz w:val="24"/>
          <w:szCs w:val="24"/>
          <w:lang w:eastAsia="es-MX"/>
        </w:rPr>
        <w:t xml:space="preserve"> de un </w:t>
      </w:r>
      <w:r w:rsidRPr="00D71B83">
        <w:rPr>
          <w:rFonts w:ascii="Palatino Linotype" w:eastAsia="Arial Unicode MS" w:hAnsi="Palatino Linotype" w:cs="Arial"/>
          <w:b/>
          <w:color w:val="000000"/>
          <w:sz w:val="24"/>
          <w:szCs w:val="24"/>
          <w:lang w:eastAsia="es-MX"/>
        </w:rPr>
        <w:t>desistimiento expreso</w:t>
      </w:r>
      <w:r w:rsidRPr="00D71B83">
        <w:rPr>
          <w:rFonts w:ascii="Palatino Linotype" w:eastAsia="Arial Unicode MS" w:hAnsi="Palatino Linotype" w:cs="Arial"/>
          <w:color w:val="000000"/>
          <w:sz w:val="24"/>
          <w:szCs w:val="24"/>
          <w:lang w:eastAsia="es-MX"/>
        </w:rPr>
        <w:t xml:space="preserve">, por parte de </w:t>
      </w:r>
      <w:r w:rsidRPr="00D71B83">
        <w:rPr>
          <w:rFonts w:ascii="Palatino Linotype" w:eastAsia="Arial Unicode MS" w:hAnsi="Palatino Linotype" w:cs="Arial"/>
          <w:b/>
          <w:color w:val="000000"/>
          <w:sz w:val="24"/>
          <w:szCs w:val="24"/>
          <w:lang w:eastAsia="es-MX"/>
        </w:rPr>
        <w:t>LA</w:t>
      </w:r>
      <w:r w:rsidRPr="00D71B83">
        <w:rPr>
          <w:rFonts w:ascii="Palatino Linotype" w:eastAsia="Arial Unicode MS" w:hAnsi="Palatino Linotype" w:cs="Arial"/>
          <w:color w:val="000000"/>
          <w:sz w:val="24"/>
          <w:szCs w:val="24"/>
          <w:lang w:eastAsia="es-MX"/>
        </w:rPr>
        <w:t xml:space="preserve"> </w:t>
      </w:r>
      <w:r w:rsidRPr="00D71B83">
        <w:rPr>
          <w:rFonts w:ascii="Palatino Linotype" w:eastAsia="Arial Unicode MS" w:hAnsi="Palatino Linotype" w:cs="Arial"/>
          <w:b/>
          <w:color w:val="000000"/>
          <w:sz w:val="24"/>
          <w:szCs w:val="24"/>
          <w:lang w:eastAsia="es-MX"/>
        </w:rPr>
        <w:t>RECURRENTE</w:t>
      </w:r>
      <w:r w:rsidR="006A0ED2">
        <w:rPr>
          <w:rFonts w:ascii="Palatino Linotype" w:eastAsia="Times New Roman" w:hAnsi="Palatino Linotype" w:cs="Arial"/>
          <w:sz w:val="24"/>
          <w:szCs w:val="24"/>
          <w:lang w:eastAsia="es-ES"/>
        </w:rPr>
        <w:t>, por lo que el medio de impugnación quedo sin materia.</w:t>
      </w:r>
    </w:p>
    <w:p w:rsidR="00D71B83" w:rsidRDefault="00D71B83" w:rsidP="00D71B83">
      <w:pPr>
        <w:pStyle w:val="Prrafodelista"/>
        <w:widowControl w:val="0"/>
        <w:autoSpaceDE w:val="0"/>
        <w:autoSpaceDN w:val="0"/>
        <w:adjustRightInd w:val="0"/>
        <w:spacing w:line="360" w:lineRule="auto"/>
        <w:ind w:left="0"/>
        <w:jc w:val="both"/>
        <w:rPr>
          <w:rFonts w:ascii="Palatino Linotype" w:eastAsia="Times New Roman" w:hAnsi="Palatino Linotype" w:cs="Arial"/>
          <w:sz w:val="24"/>
          <w:szCs w:val="24"/>
          <w:lang w:eastAsia="es-ES"/>
        </w:rPr>
      </w:pPr>
    </w:p>
    <w:p w:rsidR="006A0ED2" w:rsidRDefault="00D71B83" w:rsidP="006A0ED2">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Arial"/>
          <w:sz w:val="24"/>
          <w:szCs w:val="24"/>
          <w:lang w:eastAsia="es-ES"/>
        </w:rPr>
      </w:pPr>
      <w:r w:rsidRPr="00D71B83">
        <w:rPr>
          <w:rFonts w:ascii="Palatino Linotype" w:eastAsia="Times New Roman" w:hAnsi="Palatino Linotype" w:cs="Arial"/>
          <w:sz w:val="24"/>
          <w:szCs w:val="24"/>
          <w:lang w:eastAsia="es-ES"/>
        </w:rPr>
        <w:t xml:space="preserve">Asimismo argumento que </w:t>
      </w:r>
      <w:r w:rsidR="006A0ED2" w:rsidRPr="006A0ED2">
        <w:rPr>
          <w:rFonts w:ascii="Palatino Linotype" w:eastAsia="Times New Roman" w:hAnsi="Palatino Linotype" w:cs="Times New Roman"/>
          <w:sz w:val="24"/>
          <w:szCs w:val="24"/>
          <w:lang w:eastAsia="es-ES"/>
        </w:rPr>
        <w:t xml:space="preserve">la manifestación de la voluntad de la </w:t>
      </w:r>
      <w:proofErr w:type="spellStart"/>
      <w:r w:rsidR="006A0ED2" w:rsidRPr="006A0ED2">
        <w:rPr>
          <w:rFonts w:ascii="Palatino Linotype" w:eastAsia="Times New Roman" w:hAnsi="Palatino Linotype" w:cs="Times New Roman"/>
          <w:sz w:val="24"/>
          <w:szCs w:val="24"/>
          <w:lang w:eastAsia="es-ES"/>
        </w:rPr>
        <w:t>promovente</w:t>
      </w:r>
      <w:proofErr w:type="spellEnd"/>
      <w:r w:rsidR="006A0ED2" w:rsidRPr="006A0ED2">
        <w:rPr>
          <w:rFonts w:ascii="Palatino Linotype" w:eastAsia="Times New Roman" w:hAnsi="Palatino Linotype" w:cs="Times New Roman"/>
          <w:sz w:val="24"/>
          <w:szCs w:val="24"/>
          <w:lang w:eastAsia="es-ES"/>
        </w:rPr>
        <w:t xml:space="preserve"> respecto a desistirse de la acción ejercida, se entiende que acepta de manera expresa que el procedimiento concluya sin suscitar consecuencias de derecho</w:t>
      </w:r>
      <w:r w:rsidR="006A0ED2">
        <w:rPr>
          <w:rFonts w:ascii="Palatino Linotype" w:eastAsia="Times New Roman" w:hAnsi="Palatino Linotype" w:cs="Times New Roman"/>
          <w:sz w:val="24"/>
          <w:szCs w:val="24"/>
          <w:lang w:eastAsia="es-ES"/>
        </w:rPr>
        <w:t>, para sustentar dicho argumento se insertaron los criterios.</w:t>
      </w:r>
    </w:p>
    <w:p w:rsidR="006A0ED2" w:rsidRPr="006A0ED2" w:rsidRDefault="006A0ED2" w:rsidP="006A0ED2">
      <w:pPr>
        <w:pStyle w:val="Prrafodelista"/>
        <w:rPr>
          <w:rFonts w:ascii="Palatino Linotype" w:hAnsi="Palatino Linotype" w:cs="Arial"/>
        </w:rPr>
      </w:pPr>
    </w:p>
    <w:p w:rsidR="006A0ED2" w:rsidRPr="006A0ED2" w:rsidRDefault="006A0ED2" w:rsidP="006A0ED2">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Arial"/>
          <w:sz w:val="24"/>
          <w:szCs w:val="24"/>
          <w:lang w:eastAsia="es-ES"/>
        </w:rPr>
      </w:pPr>
      <w:r w:rsidRPr="006A0ED2">
        <w:rPr>
          <w:rFonts w:ascii="Palatino Linotype" w:hAnsi="Palatino Linotype" w:cs="Arial"/>
        </w:rPr>
        <w:t xml:space="preserve">Tesis Jurisprudencial con número de registro 2012059 de la Segunda Sala de la Suprema Corte de Justicia de la Nación, correspondiente a la Décima Época, publicada en el Libro 32, Tomo I, </w:t>
      </w:r>
      <w:proofErr w:type="spellStart"/>
      <w:r w:rsidRPr="006A0ED2">
        <w:rPr>
          <w:rFonts w:ascii="Palatino Linotype" w:hAnsi="Palatino Linotype" w:cs="Arial"/>
        </w:rPr>
        <w:t>pag</w:t>
      </w:r>
      <w:proofErr w:type="spellEnd"/>
      <w:r w:rsidRPr="006A0ED2">
        <w:rPr>
          <w:rFonts w:ascii="Palatino Linotype" w:hAnsi="Palatino Linotype" w:cs="Arial"/>
        </w:rPr>
        <w:t xml:space="preserve">. 462 de la Gaceta del Semanario Judicial de la Federación de julio de 2016, el desistimiento del recurso genera que el </w:t>
      </w:r>
      <w:proofErr w:type="spellStart"/>
      <w:r w:rsidRPr="006A0ED2">
        <w:rPr>
          <w:rFonts w:ascii="Palatino Linotype" w:hAnsi="Palatino Linotype" w:cs="Arial"/>
        </w:rPr>
        <w:t>Resolutor</w:t>
      </w:r>
      <w:proofErr w:type="spellEnd"/>
      <w:r w:rsidRPr="006A0ED2">
        <w:rPr>
          <w:rFonts w:ascii="Palatino Linotype" w:hAnsi="Palatino Linotype" w:cs="Arial"/>
        </w:rPr>
        <w:t xml:space="preserve"> deba desocuparse del análisis de los planteamientos aducidos, sin necesidad de examinar las razones o motivos de inconformidad:</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w:t>
      </w:r>
      <w:r w:rsidRPr="001B6394">
        <w:rPr>
          <w:rFonts w:ascii="Palatino Linotype" w:hAnsi="Palatino Linotype" w:cs="Arial"/>
          <w:b/>
          <w:i/>
        </w:rPr>
        <w:t>DESISTIMIENTO DE LA ACCIÓN DE AMPARO. SUS CONSECUENCIAS</w:t>
      </w:r>
      <w:r w:rsidRPr="001B6394">
        <w:rPr>
          <w:rFonts w:ascii="Palatino Linotype" w:hAnsi="Palatino Linotype" w:cs="Arial"/>
          <w:i/>
        </w:rPr>
        <w:t xml:space="preserve">. </w:t>
      </w:r>
      <w:r w:rsidRPr="001B6394">
        <w:rPr>
          <w:rFonts w:ascii="Palatino Linotype" w:hAnsi="Palatino Linotype" w:cs="Arial"/>
          <w:b/>
          <w:i/>
          <w:u w:val="single"/>
        </w:rPr>
        <w:t>El desistimiento</w:t>
      </w:r>
      <w:r w:rsidRPr="001B6394">
        <w:rPr>
          <w:rFonts w:ascii="Palatino Linotype" w:hAnsi="Palatino Linotype" w:cs="Arial"/>
          <w:i/>
        </w:rPr>
        <w:t xml:space="preserve"> de la acción de amparo </w:t>
      </w:r>
      <w:r w:rsidRPr="001B6394">
        <w:rPr>
          <w:rFonts w:ascii="Palatino Linotype" w:hAnsi="Palatino Linotype" w:cs="Arial"/>
          <w:b/>
          <w:i/>
          <w:u w:val="single"/>
        </w:rPr>
        <w:t>consiste en la declaración de voluntad del quejoso de no proseguir con el juicio, el cual, debidamente ratificado, conlleva emitir una resolución con la que finaliza la instancia</w:t>
      </w:r>
      <w:r w:rsidRPr="001B6394">
        <w:rPr>
          <w:rFonts w:ascii="Palatino Linotype" w:hAnsi="Palatino Linotype" w:cs="Arial"/>
          <w:i/>
        </w:rPr>
        <w:t xml:space="preserve"> de amparo, independientemente de la etapa en que se encuentre (desde el inicio del juicio hasta antes de que cause ejecutoria la sentencia que se dicte) y </w:t>
      </w:r>
      <w:r w:rsidRPr="001B6394">
        <w:rPr>
          <w:rFonts w:ascii="Palatino Linotype" w:hAnsi="Palatino Linotype" w:cs="Arial"/>
          <w:b/>
          <w:i/>
          <w:u w:val="single"/>
        </w:rPr>
        <w:t>sin necesidad de examinar los conceptos de violación o, en su caso, los agravios</w:t>
      </w:r>
      <w:r w:rsidRPr="001B6394">
        <w:rPr>
          <w:rFonts w:ascii="Palatino Linotype" w:hAnsi="Palatino Linotype" w:cs="Arial"/>
          <w:i/>
        </w:rPr>
        <w:t xml:space="preserve">. </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 xml:space="preserve">Amparo directo 41/2014. Asociación Sindical de Sobrecargos de Aviación de México (A.S.S.A.). 30 de octubre de 2014. Unanimidad de cuatro votos de los Ministros Alberto Pérez </w:t>
      </w:r>
      <w:proofErr w:type="spellStart"/>
      <w:r w:rsidRPr="001B6394">
        <w:rPr>
          <w:rFonts w:ascii="Palatino Linotype" w:hAnsi="Palatino Linotype" w:cs="Arial"/>
          <w:i/>
        </w:rPr>
        <w:t>Dayán</w:t>
      </w:r>
      <w:proofErr w:type="spellEnd"/>
      <w:r w:rsidRPr="001B6394">
        <w:rPr>
          <w:rFonts w:ascii="Palatino Linotype" w:hAnsi="Palatino Linotype" w:cs="Arial"/>
          <w:i/>
        </w:rPr>
        <w:t xml:space="preserve">, José Fernando Franco González Salas, Margarita Beatriz Luna Ramos y Luis María Aguilar Morales. Ausente: Sergio A. Valls Hernández. Ponente: Alberto Pérez </w:t>
      </w:r>
      <w:proofErr w:type="spellStart"/>
      <w:r w:rsidRPr="001B6394">
        <w:rPr>
          <w:rFonts w:ascii="Palatino Linotype" w:hAnsi="Palatino Linotype" w:cs="Arial"/>
          <w:i/>
        </w:rPr>
        <w:t>Dayán</w:t>
      </w:r>
      <w:proofErr w:type="spellEnd"/>
      <w:r w:rsidRPr="001B6394">
        <w:rPr>
          <w:rFonts w:ascii="Palatino Linotype" w:hAnsi="Palatino Linotype" w:cs="Arial"/>
          <w:i/>
        </w:rPr>
        <w:t>. Secretario: Jorge Antonio Medina Gaona.</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 xml:space="preserve">Amparo directo en revisión 1377/2015. Alfa New </w:t>
      </w:r>
      <w:proofErr w:type="spellStart"/>
      <w:r w:rsidRPr="001B6394">
        <w:rPr>
          <w:rFonts w:ascii="Palatino Linotype" w:hAnsi="Palatino Linotype" w:cs="Arial"/>
          <w:i/>
        </w:rPr>
        <w:t>Life</w:t>
      </w:r>
      <w:proofErr w:type="spellEnd"/>
      <w:r w:rsidRPr="001B6394">
        <w:rPr>
          <w:rFonts w:ascii="Palatino Linotype" w:hAnsi="Palatino Linotype" w:cs="Arial"/>
          <w:i/>
        </w:rPr>
        <w:t xml:space="preserve"> International, S.A. de C.V. 13 de mayo de 2015. Cinco votos de los Ministros Eduardo Medina Mora I., Juan N. Silva Meza, José Fernando Franco González Salas, Margarita Beatriz Luna Ramos y Alberto Pérez </w:t>
      </w:r>
      <w:proofErr w:type="spellStart"/>
      <w:r w:rsidRPr="001B6394">
        <w:rPr>
          <w:rFonts w:ascii="Palatino Linotype" w:hAnsi="Palatino Linotype" w:cs="Arial"/>
          <w:i/>
        </w:rPr>
        <w:t>Dayán</w:t>
      </w:r>
      <w:proofErr w:type="spellEnd"/>
      <w:r w:rsidRPr="001B6394">
        <w:rPr>
          <w:rFonts w:ascii="Palatino Linotype" w:hAnsi="Palatino Linotype" w:cs="Arial"/>
          <w:i/>
        </w:rPr>
        <w:t xml:space="preserve">. Ponente: Eduardo Medina Mora I. Secretaria: Paola </w:t>
      </w:r>
      <w:proofErr w:type="spellStart"/>
      <w:r w:rsidRPr="001B6394">
        <w:rPr>
          <w:rFonts w:ascii="Palatino Linotype" w:hAnsi="Palatino Linotype" w:cs="Arial"/>
          <w:i/>
        </w:rPr>
        <w:t>Yaber</w:t>
      </w:r>
      <w:proofErr w:type="spellEnd"/>
      <w:r w:rsidRPr="001B6394">
        <w:rPr>
          <w:rFonts w:ascii="Palatino Linotype" w:hAnsi="Palatino Linotype" w:cs="Arial"/>
          <w:i/>
        </w:rPr>
        <w:t xml:space="preserve"> Coronado.</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 xml:space="preserve">Amparo directo en revisión 1551/2015. Distribuidora </w:t>
      </w:r>
      <w:proofErr w:type="spellStart"/>
      <w:r w:rsidRPr="001B6394">
        <w:rPr>
          <w:rFonts w:ascii="Palatino Linotype" w:hAnsi="Palatino Linotype" w:cs="Arial"/>
          <w:i/>
        </w:rPr>
        <w:t>Teyvi</w:t>
      </w:r>
      <w:proofErr w:type="spellEnd"/>
      <w:r w:rsidRPr="001B6394">
        <w:rPr>
          <w:rFonts w:ascii="Palatino Linotype" w:hAnsi="Palatino Linotype" w:cs="Arial"/>
          <w:i/>
        </w:rPr>
        <w:t xml:space="preserve">, S.A. de C.V. 8 de julio de 2015. Cinco votos de los Ministros Eduardo Medina Mora I., Juan N. Silva Meza, José Fernando Franco González Salas, Margarita Beatriz Luna Ramos y Alberto Pérez </w:t>
      </w:r>
      <w:proofErr w:type="spellStart"/>
      <w:r w:rsidRPr="001B6394">
        <w:rPr>
          <w:rFonts w:ascii="Palatino Linotype" w:hAnsi="Palatino Linotype" w:cs="Arial"/>
          <w:i/>
        </w:rPr>
        <w:t>Dayán</w:t>
      </w:r>
      <w:proofErr w:type="spellEnd"/>
      <w:r w:rsidRPr="001B6394">
        <w:rPr>
          <w:rFonts w:ascii="Palatino Linotype" w:hAnsi="Palatino Linotype" w:cs="Arial"/>
          <w:i/>
        </w:rPr>
        <w:t xml:space="preserve">. Ponente: Eduardo Medina Mora I. Secretaria: </w:t>
      </w:r>
      <w:proofErr w:type="spellStart"/>
      <w:r w:rsidRPr="001B6394">
        <w:rPr>
          <w:rFonts w:ascii="Palatino Linotype" w:hAnsi="Palatino Linotype" w:cs="Arial"/>
          <w:i/>
        </w:rPr>
        <w:t>Miroslava</w:t>
      </w:r>
      <w:proofErr w:type="spellEnd"/>
      <w:r w:rsidRPr="001B6394">
        <w:rPr>
          <w:rFonts w:ascii="Palatino Linotype" w:hAnsi="Palatino Linotype" w:cs="Arial"/>
          <w:i/>
        </w:rPr>
        <w:t xml:space="preserve"> de Fátima </w:t>
      </w:r>
      <w:proofErr w:type="spellStart"/>
      <w:r w:rsidRPr="001B6394">
        <w:rPr>
          <w:rFonts w:ascii="Palatino Linotype" w:hAnsi="Palatino Linotype" w:cs="Arial"/>
          <w:i/>
        </w:rPr>
        <w:t>Alcayde</w:t>
      </w:r>
      <w:proofErr w:type="spellEnd"/>
      <w:r w:rsidRPr="001B6394">
        <w:rPr>
          <w:rFonts w:ascii="Palatino Linotype" w:hAnsi="Palatino Linotype" w:cs="Arial"/>
          <w:i/>
        </w:rPr>
        <w:t xml:space="preserve"> Escalante.</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 xml:space="preserve">Amparo en revisión 928/2015. </w:t>
      </w:r>
      <w:proofErr w:type="spellStart"/>
      <w:r w:rsidRPr="001B6394">
        <w:rPr>
          <w:rFonts w:ascii="Palatino Linotype" w:hAnsi="Palatino Linotype" w:cs="Arial"/>
          <w:i/>
        </w:rPr>
        <w:t>Cajeme</w:t>
      </w:r>
      <w:proofErr w:type="spellEnd"/>
      <w:r w:rsidRPr="001B6394">
        <w:rPr>
          <w:rFonts w:ascii="Palatino Linotype" w:hAnsi="Palatino Linotype" w:cs="Arial"/>
          <w:i/>
        </w:rPr>
        <w:t xml:space="preserve"> Productos Pecuarios, S.A. de C.V. 10 de febrero de 2016. Unanimidad de cuatro votos de los Ministros Eduardo Medina Mora I., Javier </w:t>
      </w:r>
      <w:proofErr w:type="spellStart"/>
      <w:r w:rsidRPr="001B6394">
        <w:rPr>
          <w:rFonts w:ascii="Palatino Linotype" w:hAnsi="Palatino Linotype" w:cs="Arial"/>
          <w:i/>
        </w:rPr>
        <w:t>Laynez</w:t>
      </w:r>
      <w:proofErr w:type="spellEnd"/>
      <w:r w:rsidRPr="001B6394">
        <w:rPr>
          <w:rFonts w:ascii="Palatino Linotype" w:hAnsi="Palatino Linotype" w:cs="Arial"/>
          <w:i/>
        </w:rPr>
        <w:t xml:space="preserve"> </w:t>
      </w:r>
      <w:proofErr w:type="spellStart"/>
      <w:r w:rsidRPr="001B6394">
        <w:rPr>
          <w:rFonts w:ascii="Palatino Linotype" w:hAnsi="Palatino Linotype" w:cs="Arial"/>
          <w:i/>
        </w:rPr>
        <w:t>Potisek</w:t>
      </w:r>
      <w:proofErr w:type="spellEnd"/>
      <w:r w:rsidRPr="001B6394">
        <w:rPr>
          <w:rFonts w:ascii="Palatino Linotype" w:hAnsi="Palatino Linotype" w:cs="Arial"/>
          <w:i/>
        </w:rPr>
        <w:t xml:space="preserve">, José Fernando Franco González Salas y Margarita Beatriz Luna Ramos. Ausente: Alberto Pérez </w:t>
      </w:r>
      <w:proofErr w:type="spellStart"/>
      <w:r w:rsidRPr="001B6394">
        <w:rPr>
          <w:rFonts w:ascii="Palatino Linotype" w:hAnsi="Palatino Linotype" w:cs="Arial"/>
          <w:i/>
        </w:rPr>
        <w:t>Dayán</w:t>
      </w:r>
      <w:proofErr w:type="spellEnd"/>
      <w:r w:rsidRPr="001B6394">
        <w:rPr>
          <w:rFonts w:ascii="Palatino Linotype" w:hAnsi="Palatino Linotype" w:cs="Arial"/>
          <w:i/>
        </w:rPr>
        <w:t xml:space="preserve">. Ponente: Eduardo Medina Mora I. Secretaria: </w:t>
      </w:r>
      <w:proofErr w:type="spellStart"/>
      <w:r w:rsidRPr="001B6394">
        <w:rPr>
          <w:rFonts w:ascii="Palatino Linotype" w:hAnsi="Palatino Linotype" w:cs="Arial"/>
          <w:i/>
        </w:rPr>
        <w:t>Miroslava</w:t>
      </w:r>
      <w:proofErr w:type="spellEnd"/>
      <w:r w:rsidRPr="001B6394">
        <w:rPr>
          <w:rFonts w:ascii="Palatino Linotype" w:hAnsi="Palatino Linotype" w:cs="Arial"/>
          <w:i/>
        </w:rPr>
        <w:t xml:space="preserve"> de Fátima </w:t>
      </w:r>
      <w:proofErr w:type="spellStart"/>
      <w:r w:rsidRPr="001B6394">
        <w:rPr>
          <w:rFonts w:ascii="Palatino Linotype" w:hAnsi="Palatino Linotype" w:cs="Arial"/>
          <w:i/>
        </w:rPr>
        <w:t>Alcayde</w:t>
      </w:r>
      <w:proofErr w:type="spellEnd"/>
      <w:r w:rsidRPr="001B6394">
        <w:rPr>
          <w:rFonts w:ascii="Palatino Linotype" w:hAnsi="Palatino Linotype" w:cs="Arial"/>
          <w:i/>
        </w:rPr>
        <w:t xml:space="preserve"> Escalante.</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 xml:space="preserve">Amparo en revisión 1469/2015. Luz Elena García Díaz. 1 de junio de 2016. Unanimidad de cuatro votos de los Ministros Eduardo Medina Mora I., Javier </w:t>
      </w:r>
      <w:proofErr w:type="spellStart"/>
      <w:r w:rsidRPr="001B6394">
        <w:rPr>
          <w:rFonts w:ascii="Palatino Linotype" w:hAnsi="Palatino Linotype" w:cs="Arial"/>
          <w:i/>
        </w:rPr>
        <w:t>Laynez</w:t>
      </w:r>
      <w:proofErr w:type="spellEnd"/>
      <w:r w:rsidRPr="001B6394">
        <w:rPr>
          <w:rFonts w:ascii="Palatino Linotype" w:hAnsi="Palatino Linotype" w:cs="Arial"/>
          <w:i/>
        </w:rPr>
        <w:t xml:space="preserve"> </w:t>
      </w:r>
      <w:proofErr w:type="spellStart"/>
      <w:r w:rsidRPr="001B6394">
        <w:rPr>
          <w:rFonts w:ascii="Palatino Linotype" w:hAnsi="Palatino Linotype" w:cs="Arial"/>
          <w:i/>
        </w:rPr>
        <w:t>Potisek</w:t>
      </w:r>
      <w:proofErr w:type="spellEnd"/>
      <w:r w:rsidRPr="001B6394">
        <w:rPr>
          <w:rFonts w:ascii="Palatino Linotype" w:hAnsi="Palatino Linotype" w:cs="Arial"/>
          <w:i/>
        </w:rPr>
        <w:t xml:space="preserve">, José Fernando Franco González Salas y Alberto Pérez </w:t>
      </w:r>
      <w:proofErr w:type="spellStart"/>
      <w:r w:rsidRPr="001B6394">
        <w:rPr>
          <w:rFonts w:ascii="Palatino Linotype" w:hAnsi="Palatino Linotype" w:cs="Arial"/>
          <w:i/>
        </w:rPr>
        <w:t>Dayán</w:t>
      </w:r>
      <w:proofErr w:type="spellEnd"/>
      <w:r w:rsidRPr="001B6394">
        <w:rPr>
          <w:rFonts w:ascii="Palatino Linotype" w:hAnsi="Palatino Linotype" w:cs="Arial"/>
          <w:i/>
        </w:rPr>
        <w:t>. Ausente: Margarita Beatriz Luna Ramos. Ponente: Eduardo Medina Mora I. Secretaria: Diana Cristina Rangel León.</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Tesis de jurisprudencia 82/2016 (10a.). Aprobada por la Segunda Sala de este Alto Tribunal, en sesión privada del veintidós de junio de dos mil dieciséis.”</w:t>
      </w:r>
    </w:p>
    <w:p w:rsidR="006A0ED2" w:rsidRPr="001B6394" w:rsidRDefault="006A0ED2" w:rsidP="006A0ED2">
      <w:pPr>
        <w:spacing w:before="200" w:after="200"/>
        <w:ind w:left="567" w:right="616"/>
        <w:jc w:val="both"/>
        <w:rPr>
          <w:rFonts w:ascii="Palatino Linotype" w:hAnsi="Palatino Linotype" w:cs="Arial"/>
        </w:rPr>
      </w:pPr>
      <w:r w:rsidRPr="001B6394">
        <w:rPr>
          <w:rFonts w:ascii="Palatino Linotype" w:hAnsi="Palatino Linotype" w:cs="Arial"/>
        </w:rPr>
        <w:t>(Énfasis añadido)</w:t>
      </w:r>
    </w:p>
    <w:p w:rsidR="006A0ED2" w:rsidRPr="001B6394" w:rsidRDefault="006A0ED2" w:rsidP="006A0ED2">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B6394">
        <w:rPr>
          <w:rFonts w:ascii="Palatino Linotype" w:eastAsia="Calibri" w:hAnsi="Palatino Linotype" w:cs="Arial"/>
        </w:rPr>
        <w:t xml:space="preserve">Aunado a lo anterior, sirve de apoyo lo establecido en </w:t>
      </w:r>
      <w:r w:rsidRPr="001B6394">
        <w:rPr>
          <w:rFonts w:ascii="Palatino Linotype" w:hAnsi="Palatino Linotype"/>
        </w:rPr>
        <w:t xml:space="preserve">la </w:t>
      </w:r>
      <w:r w:rsidRPr="001B6394">
        <w:rPr>
          <w:rFonts w:ascii="Palatino Linotype" w:hAnsi="Palatino Linotype" w:cs="Arial"/>
        </w:rPr>
        <w:t xml:space="preserve">Tesis Aislada, con número de registro </w:t>
      </w:r>
      <w:r w:rsidRPr="001B6394">
        <w:rPr>
          <w:rFonts w:ascii="Palatino Linotype" w:eastAsia="Calibri" w:hAnsi="Palatino Linotype" w:cs="Arial"/>
        </w:rPr>
        <w:t xml:space="preserve">211360 </w:t>
      </w:r>
      <w:r w:rsidRPr="001B6394">
        <w:rPr>
          <w:rFonts w:ascii="Palatino Linotype" w:hAnsi="Palatino Linotype" w:cs="Arial"/>
        </w:rPr>
        <w:t xml:space="preserve">de la Octava Época, emitida por el Segundo Tribunal Colegiado del Sexto Circuito, publicada en el Tomo XIV, </w:t>
      </w:r>
      <w:proofErr w:type="spellStart"/>
      <w:r w:rsidRPr="001B6394">
        <w:rPr>
          <w:rFonts w:ascii="Palatino Linotype" w:hAnsi="Palatino Linotype" w:cs="Arial"/>
        </w:rPr>
        <w:t>pag</w:t>
      </w:r>
      <w:proofErr w:type="spellEnd"/>
      <w:r w:rsidRPr="001B6394">
        <w:rPr>
          <w:rFonts w:ascii="Palatino Linotype" w:hAnsi="Palatino Linotype" w:cs="Arial"/>
        </w:rPr>
        <w:t>. 547 del Semanario Judicial de la Federación de julio de 1994, cuyo rubro y texto esgrimen lo siguiente:</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w:t>
      </w:r>
      <w:r w:rsidRPr="001B6394">
        <w:rPr>
          <w:rFonts w:ascii="Palatino Linotype" w:hAnsi="Palatino Linotype" w:cs="Arial"/>
          <w:b/>
          <w:i/>
        </w:rPr>
        <w:t>DESISTIMIENTOS DE LA ACCION Y DE LA DEMANDA. DIFERENCIAS</w:t>
      </w:r>
      <w:r w:rsidRPr="001B6394">
        <w:rPr>
          <w:rFonts w:ascii="Palatino Linotype" w:hAnsi="Palatino Linotype" w:cs="Arial"/>
          <w:i/>
        </w:rPr>
        <w:t xml:space="preserve">. No es lo mismo desistir de la acción que de la demanda o instancia, ya que </w:t>
      </w:r>
      <w:r w:rsidRPr="001B6394">
        <w:rPr>
          <w:rFonts w:ascii="Palatino Linotype" w:hAnsi="Palatino Linotype" w:cs="Arial"/>
          <w:b/>
          <w:i/>
          <w:u w:val="single"/>
        </w:rPr>
        <w:t>en el desistimiento de la demanda se pierden todos los derechos y situaciones procesales</w:t>
      </w:r>
      <w:r w:rsidRPr="001B6394">
        <w:rPr>
          <w:rFonts w:ascii="Palatino Linotype" w:hAnsi="Palatino Linotype" w:cs="Arial"/>
          <w:i/>
        </w:rPr>
        <w:t xml:space="preserve">; y si no ha prescrito la acción, puede volverse a ejercitar mediante la presentación de una nueva demanda; mientras que </w:t>
      </w:r>
      <w:r w:rsidRPr="001B6394">
        <w:rPr>
          <w:rFonts w:ascii="Palatino Linotype" w:hAnsi="Palatino Linotype" w:cs="Arial"/>
          <w:b/>
          <w:i/>
          <w:u w:val="single"/>
        </w:rPr>
        <w:t>con el desistimiento de la acción se produce la pérdida del derecho que el actor hizo valer en el juicio, porque al renunciar a la acción se renuncia al derecho</w:t>
      </w:r>
      <w:r w:rsidRPr="001B6394">
        <w:rPr>
          <w:rFonts w:ascii="Palatino Linotype" w:hAnsi="Palatino Linotype" w:cs="Arial"/>
          <w:i/>
        </w:rPr>
        <w:t>.</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SEGUNDO TRIBUNAL COLEGIADO DEL SEXTO CIRCUITO.</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Amparo directo 240/93. Instituto Mexicano del Seguro Social, Delegación Estatal en Tlaxcala. 4 de julio de 1993. Unanimidad de votos. Ponente: José Galván Rojas. Secretario: Vicente Martínez Sánchez.</w:t>
      </w:r>
    </w:p>
    <w:p w:rsidR="006A0ED2" w:rsidRPr="001B6394" w:rsidRDefault="006A0ED2" w:rsidP="006A0ED2">
      <w:pPr>
        <w:spacing w:before="200" w:after="200"/>
        <w:ind w:left="567" w:right="616"/>
        <w:jc w:val="both"/>
        <w:rPr>
          <w:rFonts w:ascii="Palatino Linotype" w:hAnsi="Palatino Linotype" w:cs="Arial"/>
          <w:i/>
        </w:rPr>
      </w:pPr>
      <w:r w:rsidRPr="001B6394">
        <w:rPr>
          <w:rFonts w:ascii="Palatino Linotype" w:hAnsi="Palatino Linotype" w:cs="Arial"/>
          <w:i/>
        </w:rPr>
        <w:t>Amparo directo 329/92. Jaime Vera López. 1o. de septiembre de 1992. Unanimidad de votos. Ponente: José Galván Rojas. Secretario: Armando Cortés Galván.”</w:t>
      </w:r>
    </w:p>
    <w:p w:rsidR="006A0ED2" w:rsidRPr="001B6394" w:rsidRDefault="006A0ED2" w:rsidP="006A0ED2">
      <w:pPr>
        <w:spacing w:before="200" w:after="200"/>
        <w:ind w:left="567" w:right="616"/>
        <w:jc w:val="both"/>
        <w:rPr>
          <w:rFonts w:ascii="Palatino Linotype" w:hAnsi="Palatino Linotype" w:cs="Arial"/>
        </w:rPr>
      </w:pPr>
      <w:r w:rsidRPr="001B6394">
        <w:rPr>
          <w:rFonts w:ascii="Palatino Linotype" w:hAnsi="Palatino Linotype" w:cs="Arial"/>
        </w:rPr>
        <w:t>(Énfasis añadido)</w:t>
      </w:r>
    </w:p>
    <w:p w:rsidR="006A0ED2" w:rsidRPr="006A0ED2" w:rsidRDefault="006A0ED2" w:rsidP="006A0ED2">
      <w:pPr>
        <w:pStyle w:val="Prrafodelista"/>
        <w:widowControl w:val="0"/>
        <w:autoSpaceDE w:val="0"/>
        <w:autoSpaceDN w:val="0"/>
        <w:adjustRightInd w:val="0"/>
        <w:spacing w:line="360" w:lineRule="auto"/>
        <w:ind w:left="0"/>
        <w:jc w:val="both"/>
        <w:rPr>
          <w:rFonts w:ascii="Palatino Linotype" w:eastAsia="Times New Roman" w:hAnsi="Palatino Linotype" w:cs="Times New Roman"/>
          <w:color w:val="000000"/>
          <w:sz w:val="24"/>
          <w:szCs w:val="24"/>
          <w:lang w:eastAsia="es-ES"/>
        </w:rPr>
      </w:pPr>
    </w:p>
    <w:p w:rsidR="00D71B83" w:rsidRPr="00D71B83" w:rsidRDefault="00D71B83" w:rsidP="00D71B83">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Times New Roman"/>
          <w:color w:val="000000"/>
          <w:sz w:val="24"/>
          <w:szCs w:val="24"/>
          <w:lang w:eastAsia="es-ES"/>
        </w:rPr>
      </w:pPr>
      <w:r w:rsidRPr="00D71B83">
        <w:rPr>
          <w:rFonts w:ascii="Palatino Linotype" w:eastAsia="Times New Roman" w:hAnsi="Palatino Linotype" w:cs="Arial"/>
          <w:sz w:val="24"/>
          <w:szCs w:val="24"/>
          <w:lang w:eastAsia="es-ES"/>
        </w:rPr>
        <w:t xml:space="preserve">Luego entonces la Ponencia </w:t>
      </w:r>
      <w:proofErr w:type="spellStart"/>
      <w:r w:rsidRPr="00D71B83">
        <w:rPr>
          <w:rFonts w:ascii="Palatino Linotype" w:eastAsia="Times New Roman" w:hAnsi="Palatino Linotype" w:cs="Arial"/>
          <w:sz w:val="24"/>
          <w:szCs w:val="24"/>
          <w:lang w:eastAsia="es-ES"/>
        </w:rPr>
        <w:t>Resolutora</w:t>
      </w:r>
      <w:proofErr w:type="spellEnd"/>
      <w:r w:rsidRPr="00D71B83">
        <w:rPr>
          <w:rFonts w:ascii="Palatino Linotype" w:eastAsia="Times New Roman" w:hAnsi="Palatino Linotype" w:cs="Arial"/>
          <w:sz w:val="24"/>
          <w:szCs w:val="24"/>
          <w:lang w:eastAsia="es-ES"/>
        </w:rPr>
        <w:t xml:space="preserve"> determinó que el asunto a resolver </w:t>
      </w:r>
      <w:r w:rsidRPr="00D71B83">
        <w:rPr>
          <w:rFonts w:ascii="Palatino Linotype" w:eastAsia="Times New Roman" w:hAnsi="Palatino Linotype" w:cs="Times New Roman"/>
          <w:color w:val="000000"/>
          <w:sz w:val="24"/>
          <w:szCs w:val="24"/>
          <w:lang w:eastAsia="es-ES"/>
        </w:rPr>
        <w:t xml:space="preserve">se actualiza la hipótesis prevista en </w:t>
      </w:r>
      <w:r w:rsidRPr="00D71B83">
        <w:rPr>
          <w:rFonts w:ascii="Palatino Linotype" w:eastAsia="Times New Roman" w:hAnsi="Palatino Linotype" w:cs="Arial"/>
          <w:sz w:val="24"/>
          <w:szCs w:val="24"/>
          <w:lang w:val="es-ES_tradnl" w:eastAsia="es-ES"/>
        </w:rPr>
        <w:t xml:space="preserve">el </w:t>
      </w:r>
      <w:r w:rsidRPr="00D71B83">
        <w:rPr>
          <w:rFonts w:ascii="Palatino Linotype" w:eastAsia="Times New Roman" w:hAnsi="Palatino Linotype" w:cs="Times New Roman"/>
          <w:color w:val="000000"/>
          <w:sz w:val="24"/>
          <w:szCs w:val="24"/>
          <w:lang w:eastAsia="es-ES"/>
        </w:rPr>
        <w:t>artículo 192, fracción I, de</w:t>
      </w:r>
      <w:r w:rsidRPr="00D71B83">
        <w:rPr>
          <w:rFonts w:ascii="Palatino Linotype" w:eastAsia="Times New Roman" w:hAnsi="Palatino Linotype" w:cs="Arial"/>
          <w:sz w:val="24"/>
          <w:szCs w:val="24"/>
          <w:lang w:val="es-ES_tradnl" w:eastAsia="es-ES"/>
        </w:rPr>
        <w:t xml:space="preserve"> la </w:t>
      </w:r>
      <w:r w:rsidRPr="00D71B83">
        <w:rPr>
          <w:rFonts w:ascii="Palatino Linotype" w:eastAsia="Times New Roman" w:hAnsi="Palatino Linotype" w:cs="Times New Roman"/>
          <w:sz w:val="24"/>
          <w:szCs w:val="24"/>
          <w:lang w:eastAsia="es-ES"/>
        </w:rPr>
        <w:t xml:space="preserve">Ley de Transparencia y Acceso a la Información Pública del Estado de México y Municipios, </w:t>
      </w:r>
      <w:r w:rsidRPr="00D71B83">
        <w:rPr>
          <w:rFonts w:ascii="Palatino Linotype" w:eastAsia="Times New Roman" w:hAnsi="Palatino Linotype" w:cs="Times New Roman"/>
          <w:color w:val="000000"/>
          <w:sz w:val="24"/>
          <w:szCs w:val="24"/>
          <w:lang w:eastAsia="es-ES"/>
        </w:rPr>
        <w:t xml:space="preserve">que dispone lo siguiente: </w:t>
      </w:r>
    </w:p>
    <w:p w:rsidR="00D71B83" w:rsidRPr="00D71B83" w:rsidRDefault="00D71B83" w:rsidP="00D71B83">
      <w:pPr>
        <w:widowControl w:val="0"/>
        <w:autoSpaceDE w:val="0"/>
        <w:autoSpaceDN w:val="0"/>
        <w:adjustRightInd w:val="0"/>
        <w:spacing w:after="0" w:line="240" w:lineRule="auto"/>
        <w:jc w:val="center"/>
        <w:rPr>
          <w:rFonts w:ascii="Palatino Linotype" w:eastAsia="Times New Roman" w:hAnsi="Palatino Linotype" w:cs="Times New Roman"/>
          <w:color w:val="000000"/>
          <w:sz w:val="24"/>
          <w:szCs w:val="24"/>
          <w:lang w:eastAsia="es-ES"/>
        </w:rPr>
      </w:pPr>
    </w:p>
    <w:p w:rsidR="00D71B83" w:rsidRDefault="00D71B83" w:rsidP="00D71B83">
      <w:pPr>
        <w:tabs>
          <w:tab w:val="left" w:pos="1134"/>
          <w:tab w:val="left" w:pos="7655"/>
        </w:tabs>
        <w:spacing w:after="0" w:line="240" w:lineRule="auto"/>
        <w:ind w:left="567" w:right="616"/>
        <w:jc w:val="both"/>
        <w:rPr>
          <w:rFonts w:ascii="Palatino Linotype" w:eastAsia="Times New Roman" w:hAnsi="Palatino Linotype" w:cs="Arial"/>
          <w:i/>
          <w:szCs w:val="24"/>
          <w:lang w:eastAsia="es-ES"/>
        </w:rPr>
      </w:pPr>
      <w:r w:rsidRPr="00D71B83">
        <w:rPr>
          <w:rFonts w:ascii="Palatino Linotype" w:eastAsia="Times New Roman" w:hAnsi="Palatino Linotype" w:cs="Arial"/>
          <w:i/>
          <w:szCs w:val="24"/>
          <w:lang w:eastAsia="es-ES"/>
        </w:rPr>
        <w:t>“</w:t>
      </w:r>
      <w:r w:rsidRPr="00D71B83">
        <w:rPr>
          <w:rFonts w:ascii="Palatino Linotype" w:eastAsia="Times New Roman" w:hAnsi="Palatino Linotype" w:cs="Arial"/>
          <w:b/>
          <w:i/>
          <w:szCs w:val="24"/>
          <w:lang w:eastAsia="es-ES"/>
        </w:rPr>
        <w:t>Artículo 192.</w:t>
      </w:r>
      <w:r w:rsidRPr="00D71B83">
        <w:rPr>
          <w:rFonts w:ascii="Palatino Linotype" w:eastAsia="Times New Roman" w:hAnsi="Palatino Linotype" w:cs="Arial"/>
          <w:i/>
          <w:szCs w:val="24"/>
          <w:lang w:eastAsia="es-ES"/>
        </w:rPr>
        <w:t xml:space="preserve"> </w:t>
      </w:r>
      <w:r w:rsidRPr="00D71B83">
        <w:rPr>
          <w:rFonts w:ascii="Palatino Linotype" w:eastAsia="Times New Roman" w:hAnsi="Palatino Linotype" w:cs="Arial"/>
          <w:b/>
          <w:i/>
          <w:szCs w:val="24"/>
          <w:u w:val="single"/>
          <w:lang w:eastAsia="es-ES"/>
        </w:rPr>
        <w:t>El recurso será sobreseído</w:t>
      </w:r>
      <w:r w:rsidRPr="00D71B83">
        <w:rPr>
          <w:rFonts w:ascii="Palatino Linotype" w:eastAsia="Times New Roman" w:hAnsi="Palatino Linotype" w:cs="Arial"/>
          <w:i/>
          <w:szCs w:val="24"/>
          <w:lang w:eastAsia="es-ES"/>
        </w:rPr>
        <w:t xml:space="preserve">, en todo o en parte, </w:t>
      </w:r>
      <w:r w:rsidRPr="00D71B83">
        <w:rPr>
          <w:rFonts w:ascii="Palatino Linotype" w:eastAsia="Times New Roman" w:hAnsi="Palatino Linotype" w:cs="Arial"/>
          <w:b/>
          <w:i/>
          <w:szCs w:val="24"/>
          <w:u w:val="single"/>
          <w:lang w:eastAsia="es-ES"/>
        </w:rPr>
        <w:t>cuando una vez admitido</w:t>
      </w:r>
      <w:r w:rsidRPr="00D71B83">
        <w:rPr>
          <w:rFonts w:ascii="Palatino Linotype" w:eastAsia="Times New Roman" w:hAnsi="Palatino Linotype" w:cs="Arial"/>
          <w:i/>
          <w:szCs w:val="24"/>
          <w:lang w:eastAsia="es-ES"/>
        </w:rPr>
        <w:t xml:space="preserve">, se actualicen alguno de los </w:t>
      </w:r>
      <w:r w:rsidRPr="00D71B83">
        <w:rPr>
          <w:rFonts w:ascii="Palatino Linotype" w:eastAsia="Times New Roman" w:hAnsi="Palatino Linotype" w:cs="Arial"/>
          <w:i/>
          <w:lang w:val="es-ES" w:eastAsia="es-ES"/>
        </w:rPr>
        <w:t>siguientes</w:t>
      </w:r>
      <w:r w:rsidRPr="00D71B83">
        <w:rPr>
          <w:rFonts w:ascii="Palatino Linotype" w:eastAsia="Times New Roman" w:hAnsi="Palatino Linotype" w:cs="Arial"/>
          <w:i/>
          <w:szCs w:val="24"/>
          <w:lang w:eastAsia="es-ES"/>
        </w:rPr>
        <w:t xml:space="preserve"> supuestos:</w:t>
      </w:r>
    </w:p>
    <w:p w:rsidR="00D71B83" w:rsidRPr="00D71B83" w:rsidRDefault="00D71B83" w:rsidP="00D71B83">
      <w:pPr>
        <w:tabs>
          <w:tab w:val="left" w:pos="1134"/>
          <w:tab w:val="left" w:pos="7655"/>
        </w:tabs>
        <w:spacing w:after="0" w:line="240" w:lineRule="auto"/>
        <w:ind w:left="567" w:right="616"/>
        <w:jc w:val="both"/>
        <w:rPr>
          <w:rFonts w:ascii="Palatino Linotype" w:eastAsia="Times New Roman" w:hAnsi="Palatino Linotype" w:cs="Arial"/>
          <w:i/>
          <w:szCs w:val="24"/>
          <w:lang w:eastAsia="es-ES"/>
        </w:rPr>
      </w:pPr>
    </w:p>
    <w:p w:rsidR="00D71B83" w:rsidRDefault="00D71B83" w:rsidP="00D71B83">
      <w:pPr>
        <w:pStyle w:val="Prrafodelista"/>
        <w:widowControl w:val="0"/>
        <w:tabs>
          <w:tab w:val="left" w:pos="1134"/>
          <w:tab w:val="left" w:pos="7655"/>
        </w:tabs>
        <w:autoSpaceDE w:val="0"/>
        <w:autoSpaceDN w:val="0"/>
        <w:adjustRightInd w:val="0"/>
        <w:spacing w:line="360" w:lineRule="auto"/>
        <w:ind w:left="567" w:right="616"/>
        <w:jc w:val="both"/>
        <w:rPr>
          <w:rFonts w:ascii="Palatino Linotype" w:eastAsia="Times New Roman" w:hAnsi="Palatino Linotype" w:cs="Arial"/>
          <w:sz w:val="24"/>
          <w:szCs w:val="24"/>
          <w:lang w:eastAsia="es-ES"/>
        </w:rPr>
      </w:pPr>
      <w:r w:rsidRPr="00D71B83">
        <w:rPr>
          <w:rFonts w:ascii="Palatino Linotype" w:eastAsia="Times New Roman" w:hAnsi="Palatino Linotype" w:cs="Arial"/>
          <w:b/>
          <w:i/>
          <w:szCs w:val="24"/>
          <w:lang w:eastAsia="es-ES"/>
        </w:rPr>
        <w:t>I.</w:t>
      </w:r>
      <w:r w:rsidRPr="00D71B83">
        <w:rPr>
          <w:rFonts w:ascii="Palatino Linotype" w:eastAsia="Times New Roman" w:hAnsi="Palatino Linotype" w:cs="Arial"/>
          <w:i/>
          <w:szCs w:val="24"/>
          <w:lang w:eastAsia="es-ES"/>
        </w:rPr>
        <w:t xml:space="preserve"> </w:t>
      </w:r>
      <w:r w:rsidRPr="00D71B83">
        <w:rPr>
          <w:rFonts w:ascii="Palatino Linotype" w:eastAsia="Times New Roman" w:hAnsi="Palatino Linotype" w:cs="Arial"/>
          <w:b/>
          <w:i/>
          <w:szCs w:val="24"/>
          <w:u w:val="single"/>
          <w:lang w:eastAsia="es-ES"/>
        </w:rPr>
        <w:t>El recurrente se desista expresamente del recurso</w:t>
      </w:r>
      <w:r w:rsidRPr="00D71B83">
        <w:rPr>
          <w:rFonts w:ascii="Palatino Linotype" w:eastAsia="Times New Roman" w:hAnsi="Palatino Linotype" w:cs="Arial"/>
          <w:i/>
          <w:szCs w:val="24"/>
          <w:lang w:eastAsia="es-ES"/>
        </w:rPr>
        <w:t>;”</w:t>
      </w:r>
    </w:p>
    <w:p w:rsidR="006A0ED2" w:rsidRPr="006A0ED2" w:rsidRDefault="006A0ED2" w:rsidP="006A0ED2">
      <w:pPr>
        <w:pStyle w:val="Prrafodelista"/>
        <w:widowControl w:val="0"/>
        <w:autoSpaceDE w:val="0"/>
        <w:autoSpaceDN w:val="0"/>
        <w:adjustRightInd w:val="0"/>
        <w:spacing w:before="360" w:after="240" w:line="360" w:lineRule="auto"/>
        <w:ind w:left="0"/>
        <w:jc w:val="both"/>
        <w:rPr>
          <w:rFonts w:ascii="Palatino Linotype" w:eastAsia="Calibri" w:hAnsi="Palatino Linotype" w:cs="Arial"/>
          <w:sz w:val="24"/>
          <w:szCs w:val="24"/>
          <w:lang w:eastAsia="es-ES"/>
        </w:rPr>
      </w:pPr>
    </w:p>
    <w:p w:rsidR="006A0ED2" w:rsidRPr="006A0ED2" w:rsidRDefault="006A0ED2" w:rsidP="006A0ED2">
      <w:pPr>
        <w:pStyle w:val="Prrafodelista"/>
        <w:widowControl w:val="0"/>
        <w:numPr>
          <w:ilvl w:val="0"/>
          <w:numId w:val="1"/>
        </w:numPr>
        <w:autoSpaceDE w:val="0"/>
        <w:autoSpaceDN w:val="0"/>
        <w:adjustRightInd w:val="0"/>
        <w:spacing w:before="360" w:after="240" w:line="360" w:lineRule="auto"/>
        <w:ind w:left="0" w:firstLine="0"/>
        <w:jc w:val="both"/>
        <w:rPr>
          <w:rFonts w:ascii="Palatino Linotype" w:eastAsia="Calibri" w:hAnsi="Palatino Linotype" w:cs="Arial"/>
          <w:sz w:val="24"/>
          <w:szCs w:val="24"/>
          <w:lang w:eastAsia="es-ES"/>
        </w:rPr>
      </w:pPr>
      <w:r w:rsidRPr="006A0ED2">
        <w:rPr>
          <w:rFonts w:ascii="Palatino Linotype" w:eastAsia="Times New Roman" w:hAnsi="Palatino Linotype" w:cs="Times New Roman"/>
          <w:color w:val="000000"/>
          <w:sz w:val="24"/>
          <w:szCs w:val="24"/>
          <w:lang w:eastAsia="es-ES"/>
        </w:rPr>
        <w:t xml:space="preserve">En </w:t>
      </w:r>
      <w:r w:rsidRPr="006A0ED2">
        <w:rPr>
          <w:rFonts w:ascii="Palatino Linotype" w:eastAsia="Calibri" w:hAnsi="Palatino Linotype" w:cs="Arial"/>
          <w:sz w:val="24"/>
          <w:szCs w:val="24"/>
          <w:lang w:eastAsia="es-ES"/>
        </w:rPr>
        <w:t>consecuencia</w:t>
      </w:r>
      <w:r w:rsidRPr="006A0ED2">
        <w:rPr>
          <w:rFonts w:ascii="Palatino Linotype" w:eastAsia="Times New Roman" w:hAnsi="Palatino Linotype" w:cs="Times New Roman"/>
          <w:color w:val="000000"/>
          <w:sz w:val="24"/>
          <w:szCs w:val="24"/>
          <w:lang w:eastAsia="es-ES"/>
        </w:rPr>
        <w:t xml:space="preserve">, </w:t>
      </w:r>
      <w:r>
        <w:rPr>
          <w:rFonts w:ascii="Palatino Linotype" w:eastAsia="Times New Roman" w:hAnsi="Palatino Linotype" w:cs="Times New Roman"/>
          <w:color w:val="000000"/>
          <w:sz w:val="24"/>
          <w:szCs w:val="24"/>
          <w:lang w:eastAsia="es-ES"/>
        </w:rPr>
        <w:t xml:space="preserve">la ponencia </w:t>
      </w:r>
      <w:proofErr w:type="spellStart"/>
      <w:r>
        <w:rPr>
          <w:rFonts w:ascii="Palatino Linotype" w:eastAsia="Times New Roman" w:hAnsi="Palatino Linotype" w:cs="Times New Roman"/>
          <w:color w:val="000000"/>
          <w:sz w:val="24"/>
          <w:szCs w:val="24"/>
          <w:lang w:eastAsia="es-ES"/>
        </w:rPr>
        <w:t>resolutora</w:t>
      </w:r>
      <w:proofErr w:type="spellEnd"/>
      <w:r>
        <w:rPr>
          <w:rFonts w:ascii="Palatino Linotype" w:eastAsia="Times New Roman" w:hAnsi="Palatino Linotype" w:cs="Times New Roman"/>
          <w:color w:val="000000"/>
          <w:sz w:val="24"/>
          <w:szCs w:val="24"/>
          <w:lang w:eastAsia="es-ES"/>
        </w:rPr>
        <w:t xml:space="preserve"> </w:t>
      </w:r>
      <w:r>
        <w:rPr>
          <w:rFonts w:ascii="Palatino Linotype" w:eastAsia="Times New Roman" w:hAnsi="Palatino Linotype" w:cs="Arial"/>
          <w:sz w:val="24"/>
          <w:szCs w:val="24"/>
          <w:lang w:val="es-ES_tradnl" w:eastAsia="es-ES"/>
        </w:rPr>
        <w:t>determinó</w:t>
      </w:r>
      <w:r w:rsidRPr="006A0ED2">
        <w:rPr>
          <w:rFonts w:ascii="Palatino Linotype" w:eastAsia="Times New Roman" w:hAnsi="Palatino Linotype" w:cs="Arial"/>
          <w:sz w:val="24"/>
          <w:szCs w:val="24"/>
          <w:lang w:val="es-ES_tradnl" w:eastAsia="es-ES"/>
        </w:rPr>
        <w:t xml:space="preserve"> </w:t>
      </w:r>
      <w:r w:rsidRPr="006A0ED2">
        <w:rPr>
          <w:rFonts w:ascii="Palatino Linotype" w:eastAsia="Times New Roman" w:hAnsi="Palatino Linotype" w:cs="Arial"/>
          <w:b/>
          <w:sz w:val="24"/>
          <w:szCs w:val="24"/>
          <w:lang w:val="es-ES_tradnl" w:eastAsia="es-ES"/>
        </w:rPr>
        <w:t>SOBRESEER</w:t>
      </w:r>
      <w:r w:rsidRPr="006A0ED2">
        <w:rPr>
          <w:rFonts w:ascii="Palatino Linotype" w:eastAsia="Times New Roman" w:hAnsi="Palatino Linotype" w:cs="Arial"/>
          <w:sz w:val="24"/>
          <w:szCs w:val="24"/>
          <w:lang w:val="es-ES_tradnl" w:eastAsia="es-ES"/>
        </w:rPr>
        <w:t xml:space="preserve"> en el presente Recurso de Revisión, en </w:t>
      </w:r>
      <w:r w:rsidRPr="006A0ED2">
        <w:rPr>
          <w:rFonts w:ascii="Palatino Linotype" w:eastAsia="Times New Roman" w:hAnsi="Palatino Linotype" w:cs="Times New Roman"/>
          <w:bCs/>
          <w:sz w:val="24"/>
          <w:szCs w:val="24"/>
          <w:lang w:eastAsia="es-ES"/>
        </w:rPr>
        <w:t>términos</w:t>
      </w:r>
      <w:r w:rsidRPr="006A0ED2">
        <w:rPr>
          <w:rFonts w:ascii="Palatino Linotype" w:eastAsia="Times New Roman" w:hAnsi="Palatino Linotype" w:cs="Arial"/>
          <w:sz w:val="24"/>
          <w:szCs w:val="24"/>
          <w:lang w:val="es-ES_tradnl" w:eastAsia="es-ES"/>
        </w:rPr>
        <w:t xml:space="preserve"> del artículo 186, fracción I, de la </w:t>
      </w:r>
      <w:r w:rsidRPr="006A0ED2">
        <w:rPr>
          <w:rFonts w:ascii="Palatino Linotype" w:eastAsia="Calibri" w:hAnsi="Palatino Linotype" w:cs="Arial"/>
          <w:sz w:val="24"/>
          <w:szCs w:val="24"/>
          <w:lang w:eastAsia="es-ES"/>
        </w:rPr>
        <w:t>Ley de Transparencia y Acceso a la Información Pública del Estado de México y Municipios:</w:t>
      </w:r>
    </w:p>
    <w:p w:rsidR="006A0ED2" w:rsidRPr="006A0ED2" w:rsidRDefault="006A0ED2" w:rsidP="006A0ED2">
      <w:pPr>
        <w:spacing w:before="160" w:line="240" w:lineRule="auto"/>
        <w:ind w:left="851" w:right="899"/>
        <w:jc w:val="both"/>
        <w:rPr>
          <w:rFonts w:ascii="Palatino Linotype" w:eastAsia="Times New Roman" w:hAnsi="Palatino Linotype" w:cs="Arial"/>
          <w:i/>
          <w:szCs w:val="24"/>
          <w:lang w:eastAsia="es-ES"/>
        </w:rPr>
      </w:pPr>
      <w:r w:rsidRPr="006A0ED2">
        <w:rPr>
          <w:rFonts w:ascii="Palatino Linotype" w:eastAsia="Times New Roman" w:hAnsi="Palatino Linotype" w:cs="Arial"/>
          <w:i/>
          <w:szCs w:val="24"/>
          <w:lang w:eastAsia="es-ES"/>
        </w:rPr>
        <w:t>“</w:t>
      </w:r>
      <w:r w:rsidRPr="006A0ED2">
        <w:rPr>
          <w:rFonts w:ascii="Palatino Linotype" w:eastAsia="Times New Roman" w:hAnsi="Palatino Linotype" w:cs="Arial"/>
          <w:b/>
          <w:i/>
          <w:szCs w:val="24"/>
          <w:lang w:eastAsia="es-ES"/>
        </w:rPr>
        <w:t xml:space="preserve">Artículo 186. </w:t>
      </w:r>
      <w:r w:rsidRPr="006A0ED2">
        <w:rPr>
          <w:rFonts w:ascii="Palatino Linotype" w:eastAsia="Times New Roman" w:hAnsi="Palatino Linotype" w:cs="Arial"/>
          <w:b/>
          <w:i/>
          <w:szCs w:val="24"/>
          <w:u w:val="single"/>
          <w:lang w:eastAsia="es-ES"/>
        </w:rPr>
        <w:t>Las resoluciones del Instituto podrán</w:t>
      </w:r>
      <w:r w:rsidRPr="006A0ED2">
        <w:rPr>
          <w:rFonts w:ascii="Palatino Linotype" w:eastAsia="Times New Roman" w:hAnsi="Palatino Linotype" w:cs="Arial"/>
          <w:i/>
          <w:szCs w:val="24"/>
          <w:lang w:eastAsia="es-ES"/>
        </w:rPr>
        <w:t xml:space="preserve">: </w:t>
      </w:r>
    </w:p>
    <w:p w:rsidR="006A0ED2" w:rsidRPr="006A0ED2" w:rsidRDefault="006A0ED2" w:rsidP="006A0ED2">
      <w:pPr>
        <w:spacing w:before="160" w:line="240" w:lineRule="auto"/>
        <w:ind w:left="851" w:right="899"/>
        <w:jc w:val="both"/>
        <w:rPr>
          <w:rFonts w:ascii="Palatino Linotype" w:eastAsia="Times New Roman" w:hAnsi="Palatino Linotype" w:cs="Arial"/>
          <w:i/>
          <w:szCs w:val="24"/>
          <w:lang w:eastAsia="es-ES"/>
        </w:rPr>
      </w:pPr>
      <w:r w:rsidRPr="006A0ED2">
        <w:rPr>
          <w:rFonts w:ascii="Palatino Linotype" w:eastAsia="Times New Roman" w:hAnsi="Palatino Linotype" w:cs="Arial"/>
          <w:b/>
          <w:i/>
          <w:szCs w:val="24"/>
          <w:lang w:eastAsia="es-ES"/>
        </w:rPr>
        <w:t xml:space="preserve">I. </w:t>
      </w:r>
      <w:r w:rsidRPr="006A0ED2">
        <w:rPr>
          <w:rFonts w:ascii="Palatino Linotype" w:eastAsia="Times New Roman" w:hAnsi="Palatino Linotype" w:cs="Arial"/>
          <w:i/>
          <w:szCs w:val="24"/>
          <w:lang w:eastAsia="es-ES"/>
        </w:rPr>
        <w:t xml:space="preserve">Desechar o </w:t>
      </w:r>
      <w:r w:rsidRPr="006A0ED2">
        <w:rPr>
          <w:rFonts w:ascii="Palatino Linotype" w:eastAsia="Times New Roman" w:hAnsi="Palatino Linotype" w:cs="Arial"/>
          <w:b/>
          <w:i/>
          <w:szCs w:val="24"/>
          <w:u w:val="single"/>
          <w:lang w:eastAsia="es-ES"/>
        </w:rPr>
        <w:t>sobreseer el recurso</w:t>
      </w:r>
      <w:r w:rsidRPr="006A0ED2">
        <w:rPr>
          <w:rFonts w:ascii="Palatino Linotype" w:eastAsia="Times New Roman" w:hAnsi="Palatino Linotype" w:cs="Arial"/>
          <w:i/>
          <w:szCs w:val="24"/>
          <w:lang w:eastAsia="es-ES"/>
        </w:rPr>
        <w:t xml:space="preserve">;” </w:t>
      </w:r>
    </w:p>
    <w:p w:rsidR="00D71B83" w:rsidRPr="00D71B83" w:rsidRDefault="002A3FC6" w:rsidP="00D71B83">
      <w:pPr>
        <w:keepNext/>
        <w:keepLines/>
        <w:numPr>
          <w:ilvl w:val="0"/>
          <w:numId w:val="2"/>
        </w:numPr>
        <w:spacing w:before="240" w:after="0"/>
        <w:ind w:left="0" w:firstLine="0"/>
        <w:outlineLvl w:val="0"/>
        <w:rPr>
          <w:rFonts w:ascii="Palatino Linotype" w:hAnsi="Palatino Linotype" w:cs="Arial"/>
          <w:b/>
          <w:i/>
        </w:rPr>
      </w:pPr>
      <w:bookmarkStart w:id="2" w:name="_Toc2012870"/>
      <w:r w:rsidRPr="00310843">
        <w:rPr>
          <w:rFonts w:ascii="Palatino Linotype" w:eastAsiaTheme="majorEastAsia" w:hAnsi="Palatino Linotype" w:cstheme="majorBidi"/>
          <w:b/>
          <w:sz w:val="24"/>
          <w:szCs w:val="32"/>
        </w:rPr>
        <w:t>De</w:t>
      </w:r>
      <w:r w:rsidR="00D71B83">
        <w:rPr>
          <w:rFonts w:ascii="Palatino Linotype" w:eastAsiaTheme="majorEastAsia" w:hAnsi="Palatino Linotype" w:cstheme="majorBidi"/>
          <w:b/>
          <w:sz w:val="24"/>
          <w:szCs w:val="32"/>
        </w:rPr>
        <w:t>l contenido del desistimiento</w:t>
      </w:r>
      <w:bookmarkEnd w:id="2"/>
    </w:p>
    <w:p w:rsidR="00D71B83" w:rsidRPr="00D71B83" w:rsidRDefault="00D71B83" w:rsidP="00D71B83">
      <w:pPr>
        <w:keepNext/>
        <w:keepLines/>
        <w:spacing w:before="240" w:after="0"/>
        <w:outlineLvl w:val="0"/>
        <w:rPr>
          <w:rFonts w:ascii="Palatino Linotype" w:hAnsi="Palatino Linotype" w:cs="Arial"/>
          <w:b/>
          <w:i/>
        </w:rPr>
      </w:pPr>
    </w:p>
    <w:p w:rsidR="001D0944" w:rsidRPr="00247251" w:rsidRDefault="00D71B83" w:rsidP="00247251">
      <w:pPr>
        <w:numPr>
          <w:ilvl w:val="0"/>
          <w:numId w:val="1"/>
        </w:numPr>
        <w:spacing w:after="0" w:line="360" w:lineRule="auto"/>
        <w:ind w:left="0" w:firstLine="0"/>
        <w:contextualSpacing/>
        <w:jc w:val="both"/>
        <w:rPr>
          <w:rFonts w:ascii="Palatino Linotype" w:hAnsi="Palatino Linotype" w:cs="Arial"/>
          <w:b/>
          <w:i/>
          <w:sz w:val="24"/>
          <w:szCs w:val="24"/>
        </w:rPr>
      </w:pPr>
      <w:r w:rsidRPr="001D0944">
        <w:rPr>
          <w:rFonts w:ascii="Palatino Linotype" w:hAnsi="Palatino Linotype" w:cs="Arial"/>
          <w:sz w:val="24"/>
          <w:szCs w:val="24"/>
        </w:rPr>
        <w:t>De</w:t>
      </w:r>
      <w:r w:rsidR="001D0944" w:rsidRPr="001D0944">
        <w:rPr>
          <w:rFonts w:ascii="Palatino Linotype" w:hAnsi="Palatino Linotype" w:cs="Arial"/>
          <w:sz w:val="24"/>
          <w:szCs w:val="24"/>
        </w:rPr>
        <w:t xml:space="preserve"> lo anteriormente expuesto, se aprecia claramente que el supuesto desistimiento expreso a que hace referencia la Ponencia </w:t>
      </w:r>
      <w:proofErr w:type="spellStart"/>
      <w:r w:rsidR="001D0944" w:rsidRPr="001D0944">
        <w:rPr>
          <w:rFonts w:ascii="Palatino Linotype" w:hAnsi="Palatino Linotype" w:cs="Arial"/>
          <w:sz w:val="24"/>
          <w:szCs w:val="24"/>
        </w:rPr>
        <w:t>Resolutora</w:t>
      </w:r>
      <w:proofErr w:type="spellEnd"/>
      <w:r w:rsidR="001D0944">
        <w:rPr>
          <w:rFonts w:ascii="Palatino Linotype" w:hAnsi="Palatino Linotype" w:cs="Arial"/>
          <w:sz w:val="24"/>
          <w:szCs w:val="24"/>
        </w:rPr>
        <w:t xml:space="preserve"> no es propiamente un</w:t>
      </w:r>
      <w:r w:rsidR="00E9038F">
        <w:rPr>
          <w:rFonts w:ascii="Palatino Linotype" w:hAnsi="Palatino Linotype" w:cs="Arial"/>
          <w:sz w:val="24"/>
          <w:szCs w:val="24"/>
        </w:rPr>
        <w:t>a</w:t>
      </w:r>
      <w:r w:rsidR="001D0944">
        <w:rPr>
          <w:rFonts w:ascii="Palatino Linotype" w:hAnsi="Palatino Linotype" w:cs="Arial"/>
          <w:sz w:val="24"/>
          <w:szCs w:val="24"/>
        </w:rPr>
        <w:t xml:space="preserve"> manifestación en la que se aprecie la conformidad del solicitante sino todo lo contrario ya que las expresiones </w:t>
      </w:r>
      <w:r w:rsidR="00E9038F">
        <w:rPr>
          <w:rFonts w:ascii="Palatino Linotype" w:hAnsi="Palatino Linotype" w:cs="Arial"/>
          <w:sz w:val="24"/>
          <w:szCs w:val="24"/>
        </w:rPr>
        <w:t>“FALTA</w:t>
      </w:r>
      <w:r w:rsidR="00247251">
        <w:rPr>
          <w:rFonts w:ascii="Palatino Linotype" w:hAnsi="Palatino Linotype" w:cs="Arial"/>
          <w:sz w:val="24"/>
          <w:szCs w:val="24"/>
        </w:rPr>
        <w:t xml:space="preserve"> DE CONFIANZA</w:t>
      </w:r>
      <w:r w:rsidR="001D0944" w:rsidRPr="00247251">
        <w:rPr>
          <w:rFonts w:ascii="Palatino Linotype" w:hAnsi="Palatino Linotype" w:cs="Arial"/>
          <w:sz w:val="24"/>
          <w:szCs w:val="24"/>
        </w:rPr>
        <w:t>” no resultan precisamente un desistimiento sino una inconformidad por parte del solicitante.</w:t>
      </w:r>
    </w:p>
    <w:p w:rsidR="001D0944" w:rsidRPr="001D0944" w:rsidRDefault="001D0944" w:rsidP="001D0944">
      <w:pPr>
        <w:spacing w:after="0" w:line="360" w:lineRule="auto"/>
        <w:contextualSpacing/>
        <w:jc w:val="both"/>
        <w:rPr>
          <w:rFonts w:ascii="Palatino Linotype" w:hAnsi="Palatino Linotype" w:cs="Arial"/>
          <w:b/>
          <w:i/>
          <w:sz w:val="24"/>
          <w:szCs w:val="24"/>
        </w:rPr>
      </w:pPr>
    </w:p>
    <w:p w:rsidR="00E9038F" w:rsidRPr="00247251" w:rsidRDefault="00E9038F" w:rsidP="00E9038F">
      <w:pPr>
        <w:numPr>
          <w:ilvl w:val="0"/>
          <w:numId w:val="1"/>
        </w:numPr>
        <w:spacing w:after="0" w:line="360" w:lineRule="auto"/>
        <w:ind w:left="0" w:firstLine="0"/>
        <w:contextualSpacing/>
        <w:jc w:val="both"/>
        <w:rPr>
          <w:rFonts w:ascii="Palatino Linotype" w:hAnsi="Palatino Linotype" w:cs="Arial"/>
          <w:b/>
          <w:i/>
          <w:sz w:val="24"/>
          <w:szCs w:val="24"/>
        </w:rPr>
      </w:pPr>
      <w:r w:rsidRPr="00247251">
        <w:rPr>
          <w:rFonts w:ascii="Palatino Linotype" w:hAnsi="Palatino Linotype" w:cs="Arial"/>
          <w:sz w:val="24"/>
          <w:szCs w:val="24"/>
        </w:rPr>
        <w:t xml:space="preserve">Luego entonces, se puede observar que el desistimiento se realizó muy probablemente por un error involuntario del solicitante y no precisamente porque la respuesta que le fue entregada haya sido satisfactoria, toda vez que se aprecia que misma resulta </w:t>
      </w:r>
      <w:r w:rsidR="00247251" w:rsidRPr="00247251">
        <w:rPr>
          <w:rFonts w:ascii="Palatino Linotype" w:hAnsi="Palatino Linotype" w:cs="Arial"/>
          <w:sz w:val="24"/>
          <w:szCs w:val="24"/>
        </w:rPr>
        <w:t xml:space="preserve">incompleta </w:t>
      </w:r>
      <w:r w:rsidRPr="00247251">
        <w:rPr>
          <w:rFonts w:ascii="Palatino Linotype" w:hAnsi="Palatino Linotype" w:cs="Arial"/>
          <w:sz w:val="24"/>
          <w:szCs w:val="24"/>
        </w:rPr>
        <w:t xml:space="preserve">al observar en el contenido </w:t>
      </w:r>
      <w:r w:rsidR="00247251" w:rsidRPr="00247251">
        <w:rPr>
          <w:rFonts w:ascii="Palatino Linotype" w:hAnsi="Palatino Linotype" w:cs="Arial"/>
          <w:sz w:val="24"/>
          <w:szCs w:val="24"/>
        </w:rPr>
        <w:t>que se trataba de una clasificación de información confidencial y de la cual no se entregó el acuerdo que avalara la misma</w:t>
      </w:r>
      <w:r w:rsidRPr="00247251">
        <w:rPr>
          <w:rFonts w:ascii="Palatino Linotype" w:hAnsi="Palatino Linotype" w:cs="Arial"/>
          <w:sz w:val="24"/>
          <w:szCs w:val="24"/>
        </w:rPr>
        <w:t xml:space="preserve">, simplemente el </w:t>
      </w:r>
      <w:r w:rsidRPr="00247251">
        <w:rPr>
          <w:rFonts w:ascii="Palatino Linotype" w:hAnsi="Palatino Linotype" w:cs="Arial"/>
          <w:b/>
          <w:sz w:val="24"/>
          <w:szCs w:val="24"/>
        </w:rPr>
        <w:t>SUJETO OBLIGADO</w:t>
      </w:r>
      <w:r w:rsidRPr="00247251">
        <w:rPr>
          <w:rFonts w:ascii="Palatino Linotype" w:hAnsi="Palatino Linotype" w:cs="Arial"/>
          <w:sz w:val="24"/>
          <w:szCs w:val="24"/>
        </w:rPr>
        <w:t xml:space="preserve"> se limitó a </w:t>
      </w:r>
      <w:r w:rsidR="00247251" w:rsidRPr="00247251">
        <w:rPr>
          <w:rFonts w:ascii="Palatino Linotype" w:hAnsi="Palatino Linotype" w:cs="Arial"/>
          <w:sz w:val="24"/>
          <w:szCs w:val="24"/>
        </w:rPr>
        <w:t>restringir el derecho sin dar de manera fundada y motivada la justificación de la clasificación</w:t>
      </w:r>
      <w:r w:rsidR="00247251">
        <w:rPr>
          <w:rFonts w:ascii="Palatino Linotype" w:hAnsi="Palatino Linotype" w:cs="Arial"/>
          <w:sz w:val="24"/>
          <w:szCs w:val="24"/>
        </w:rPr>
        <w:t>,</w:t>
      </w:r>
      <w:r w:rsidR="00247251" w:rsidRPr="00247251">
        <w:rPr>
          <w:rFonts w:ascii="Palatino Linotype" w:hAnsi="Palatino Linotype" w:cs="Arial"/>
          <w:sz w:val="24"/>
          <w:szCs w:val="24"/>
        </w:rPr>
        <w:t xml:space="preserve"> la puede ser entregada en versi</w:t>
      </w:r>
      <w:r w:rsidR="00247251">
        <w:rPr>
          <w:rFonts w:ascii="Palatino Linotype" w:hAnsi="Palatino Linotype" w:cs="Arial"/>
          <w:sz w:val="24"/>
          <w:szCs w:val="24"/>
        </w:rPr>
        <w:t>ón pú</w:t>
      </w:r>
      <w:r w:rsidR="00247251" w:rsidRPr="00247251">
        <w:rPr>
          <w:rFonts w:ascii="Palatino Linotype" w:hAnsi="Palatino Linotype" w:cs="Arial"/>
          <w:sz w:val="24"/>
          <w:szCs w:val="24"/>
        </w:rPr>
        <w:t xml:space="preserve">blica de ser el caso. </w:t>
      </w:r>
    </w:p>
    <w:p w:rsidR="00247251" w:rsidRPr="00247251" w:rsidRDefault="00247251" w:rsidP="00247251">
      <w:pPr>
        <w:spacing w:after="0" w:line="360" w:lineRule="auto"/>
        <w:contextualSpacing/>
        <w:jc w:val="both"/>
        <w:rPr>
          <w:rFonts w:ascii="Palatino Linotype" w:hAnsi="Palatino Linotype" w:cs="Arial"/>
          <w:b/>
          <w:i/>
          <w:sz w:val="24"/>
          <w:szCs w:val="24"/>
        </w:rPr>
      </w:pPr>
    </w:p>
    <w:p w:rsidR="00D26689" w:rsidRDefault="002A3FC6" w:rsidP="002A3FC6">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 xml:space="preserve">Asimismo, en el presente caso en particular no se comparte que la ponencia </w:t>
      </w:r>
      <w:proofErr w:type="spellStart"/>
      <w:r w:rsidRPr="00310843">
        <w:rPr>
          <w:rFonts w:ascii="Palatino Linotype" w:hAnsi="Palatino Linotype" w:cs="Arial"/>
          <w:sz w:val="24"/>
          <w:szCs w:val="24"/>
        </w:rPr>
        <w:t>resolutora</w:t>
      </w:r>
      <w:proofErr w:type="spellEnd"/>
      <w:r w:rsidRPr="00310843">
        <w:rPr>
          <w:rFonts w:ascii="Palatino Linotype" w:hAnsi="Palatino Linotype" w:cs="Arial"/>
          <w:sz w:val="24"/>
          <w:szCs w:val="24"/>
        </w:rPr>
        <w:t xml:space="preserve"> haya </w:t>
      </w:r>
      <w:r w:rsidR="00D26689">
        <w:rPr>
          <w:rFonts w:ascii="Palatino Linotype" w:hAnsi="Palatino Linotype" w:cs="Arial"/>
          <w:sz w:val="24"/>
          <w:szCs w:val="24"/>
        </w:rPr>
        <w:t>considerado que el desistimiento del solicitante sea procedente cuando en su contenido se aprecia una inconformidad del solicitante y no su expresión plena y convincente de esta</w:t>
      </w:r>
      <w:r w:rsidR="00247251">
        <w:rPr>
          <w:rFonts w:ascii="Palatino Linotype" w:hAnsi="Palatino Linotype" w:cs="Arial"/>
          <w:sz w:val="24"/>
          <w:szCs w:val="24"/>
        </w:rPr>
        <w:t>r</w:t>
      </w:r>
      <w:r w:rsidR="00D26689">
        <w:rPr>
          <w:rFonts w:ascii="Palatino Linotype" w:hAnsi="Palatino Linotype" w:cs="Arial"/>
          <w:sz w:val="24"/>
          <w:szCs w:val="24"/>
        </w:rPr>
        <w:t xml:space="preserve"> conforme con la respuesta que el </w:t>
      </w:r>
      <w:r w:rsidR="00D26689" w:rsidRPr="00D26689">
        <w:rPr>
          <w:rFonts w:ascii="Palatino Linotype" w:hAnsi="Palatino Linotype" w:cs="Arial"/>
          <w:b/>
          <w:sz w:val="24"/>
          <w:szCs w:val="24"/>
        </w:rPr>
        <w:t>SUJETO OBLIGADO</w:t>
      </w:r>
      <w:r w:rsidR="00247251">
        <w:rPr>
          <w:rFonts w:ascii="Palatino Linotype" w:hAnsi="Palatino Linotype" w:cs="Arial"/>
          <w:sz w:val="24"/>
          <w:szCs w:val="24"/>
        </w:rPr>
        <w:t xml:space="preserve"> emitió, a pesar de que mediante la presentación del informe justificado se haya entregado la información, pero sin el acuerdo que avalara la referida clasificación de la información que se argumentó en la respuesta.</w:t>
      </w:r>
    </w:p>
    <w:p w:rsidR="00D26689" w:rsidRPr="00592FEC" w:rsidRDefault="00D26689" w:rsidP="00592FEC">
      <w:pPr>
        <w:pStyle w:val="Ttulo2"/>
        <w:rPr>
          <w:rFonts w:ascii="Palatino Linotype" w:hAnsi="Palatino Linotype"/>
          <w:color w:val="auto"/>
          <w:sz w:val="24"/>
          <w:szCs w:val="24"/>
        </w:rPr>
      </w:pPr>
    </w:p>
    <w:p w:rsidR="002A3FC6" w:rsidRPr="00592FEC" w:rsidRDefault="00592FEC" w:rsidP="00592FEC">
      <w:pPr>
        <w:pStyle w:val="Ttulo2"/>
        <w:rPr>
          <w:rFonts w:ascii="Palatino Linotype" w:hAnsi="Palatino Linotype"/>
          <w:b/>
          <w:color w:val="auto"/>
          <w:sz w:val="24"/>
          <w:szCs w:val="24"/>
        </w:rPr>
      </w:pPr>
      <w:bookmarkStart w:id="3" w:name="_Toc2012871"/>
      <w:r w:rsidRPr="00592FEC">
        <w:rPr>
          <w:rFonts w:ascii="Palatino Linotype" w:hAnsi="Palatino Linotype"/>
          <w:b/>
          <w:color w:val="auto"/>
          <w:sz w:val="24"/>
          <w:szCs w:val="24"/>
        </w:rPr>
        <w:t>IV</w:t>
      </w:r>
      <w:r>
        <w:rPr>
          <w:rFonts w:ascii="Palatino Linotype" w:hAnsi="Palatino Linotype"/>
          <w:b/>
          <w:color w:val="auto"/>
          <w:sz w:val="24"/>
          <w:szCs w:val="24"/>
        </w:rPr>
        <w:t>.</w:t>
      </w:r>
      <w:r w:rsidR="00D26689" w:rsidRPr="00592FEC">
        <w:rPr>
          <w:rFonts w:ascii="Palatino Linotype" w:hAnsi="Palatino Linotype"/>
          <w:b/>
          <w:color w:val="auto"/>
          <w:sz w:val="24"/>
          <w:szCs w:val="24"/>
        </w:rPr>
        <w:t xml:space="preserve"> </w:t>
      </w:r>
      <w:r w:rsidR="002A3FC6" w:rsidRPr="00592FEC">
        <w:rPr>
          <w:rFonts w:ascii="Palatino Linotype" w:hAnsi="Palatino Linotype"/>
          <w:b/>
          <w:color w:val="auto"/>
          <w:sz w:val="24"/>
          <w:szCs w:val="24"/>
        </w:rPr>
        <w:t>Conclusión.</w:t>
      </w:r>
      <w:bookmarkEnd w:id="3"/>
    </w:p>
    <w:p w:rsidR="002A3FC6" w:rsidRPr="00310843" w:rsidRDefault="002A3FC6" w:rsidP="002A3FC6"/>
    <w:p w:rsidR="00D26689" w:rsidRDefault="002A3FC6" w:rsidP="00D26689">
      <w:pPr>
        <w:numPr>
          <w:ilvl w:val="0"/>
          <w:numId w:val="1"/>
        </w:numPr>
        <w:spacing w:after="0" w:line="360" w:lineRule="auto"/>
        <w:ind w:left="0" w:firstLine="0"/>
        <w:contextualSpacing/>
        <w:jc w:val="both"/>
        <w:rPr>
          <w:rFonts w:ascii="Palatino Linotype" w:hAnsi="Palatino Linotype" w:cs="Arial"/>
          <w:sz w:val="24"/>
          <w:szCs w:val="24"/>
        </w:rPr>
      </w:pPr>
      <w:r w:rsidRPr="00310843">
        <w:rPr>
          <w:rFonts w:ascii="Palatino Linotype" w:hAnsi="Palatino Linotype" w:cs="Arial"/>
          <w:sz w:val="24"/>
          <w:szCs w:val="24"/>
        </w:rPr>
        <w:t>Si bien,</w:t>
      </w:r>
      <w:r w:rsidR="00D26689">
        <w:rPr>
          <w:rFonts w:ascii="Palatino Linotype" w:hAnsi="Palatino Linotype" w:cs="Arial"/>
          <w:sz w:val="24"/>
          <w:szCs w:val="24"/>
        </w:rPr>
        <w:t xml:space="preserve"> se aprecia en el SAIMEX la ca</w:t>
      </w:r>
      <w:r w:rsidR="00247251">
        <w:rPr>
          <w:rFonts w:ascii="Palatino Linotype" w:hAnsi="Palatino Linotype" w:cs="Arial"/>
          <w:sz w:val="24"/>
          <w:szCs w:val="24"/>
        </w:rPr>
        <w:t>silla del Desistimiento, lo cier</w:t>
      </w:r>
      <w:r w:rsidR="00D26689">
        <w:rPr>
          <w:rFonts w:ascii="Palatino Linotype" w:hAnsi="Palatino Linotype" w:cs="Arial"/>
          <w:sz w:val="24"/>
          <w:szCs w:val="24"/>
        </w:rPr>
        <w:t xml:space="preserve">to es que </w:t>
      </w:r>
      <w:r w:rsidR="00247251">
        <w:rPr>
          <w:rFonts w:ascii="Palatino Linotype" w:hAnsi="Palatino Linotype" w:cs="Arial"/>
          <w:sz w:val="24"/>
          <w:szCs w:val="24"/>
        </w:rPr>
        <w:t xml:space="preserve">en </w:t>
      </w:r>
      <w:r w:rsidR="00D26689">
        <w:rPr>
          <w:rFonts w:ascii="Palatino Linotype" w:hAnsi="Palatino Linotype" w:cs="Arial"/>
          <w:sz w:val="24"/>
          <w:szCs w:val="24"/>
        </w:rPr>
        <w:t>el contenido del mismo</w:t>
      </w:r>
      <w:r w:rsidR="00247251">
        <w:rPr>
          <w:rFonts w:ascii="Palatino Linotype" w:hAnsi="Palatino Linotype" w:cs="Arial"/>
          <w:sz w:val="24"/>
          <w:szCs w:val="24"/>
        </w:rPr>
        <w:t>,</w:t>
      </w:r>
      <w:r w:rsidR="00D26689">
        <w:rPr>
          <w:rFonts w:ascii="Palatino Linotype" w:hAnsi="Palatino Linotype" w:cs="Arial"/>
          <w:sz w:val="24"/>
          <w:szCs w:val="24"/>
        </w:rPr>
        <w:t xml:space="preserve"> no </w:t>
      </w:r>
      <w:r w:rsidR="00247251">
        <w:rPr>
          <w:rFonts w:ascii="Palatino Linotype" w:hAnsi="Palatino Linotype" w:cs="Arial"/>
          <w:sz w:val="24"/>
          <w:szCs w:val="24"/>
        </w:rPr>
        <w:t xml:space="preserve">observa que </w:t>
      </w:r>
      <w:r w:rsidR="00D26689">
        <w:rPr>
          <w:rFonts w:ascii="Palatino Linotype" w:hAnsi="Palatino Linotype" w:cs="Arial"/>
          <w:sz w:val="24"/>
          <w:szCs w:val="24"/>
        </w:rPr>
        <w:t>la manifestación de</w:t>
      </w:r>
      <w:r w:rsidR="00247251">
        <w:rPr>
          <w:rFonts w:ascii="Palatino Linotype" w:hAnsi="Palatino Linotype" w:cs="Arial"/>
          <w:sz w:val="24"/>
          <w:szCs w:val="24"/>
        </w:rPr>
        <w:t xml:space="preserve"> que el la</w:t>
      </w:r>
      <w:r w:rsidR="00D26689">
        <w:rPr>
          <w:rFonts w:ascii="Palatino Linotype" w:hAnsi="Palatino Linotype" w:cs="Arial"/>
          <w:sz w:val="24"/>
          <w:szCs w:val="24"/>
        </w:rPr>
        <w:t xml:space="preserve"> particular </w:t>
      </w:r>
      <w:r w:rsidR="00247251">
        <w:rPr>
          <w:rFonts w:ascii="Palatino Linotype" w:hAnsi="Palatino Linotype" w:cs="Arial"/>
          <w:sz w:val="24"/>
          <w:szCs w:val="24"/>
        </w:rPr>
        <w:t xml:space="preserve">está encamino a </w:t>
      </w:r>
      <w:r w:rsidR="00D26689">
        <w:rPr>
          <w:rFonts w:ascii="Palatino Linotype" w:hAnsi="Palatino Linotype" w:cs="Arial"/>
          <w:sz w:val="24"/>
          <w:szCs w:val="24"/>
        </w:rPr>
        <w:t>respuesta</w:t>
      </w:r>
      <w:r w:rsidR="00247251">
        <w:rPr>
          <w:rFonts w:ascii="Palatino Linotype" w:hAnsi="Palatino Linotype" w:cs="Arial"/>
          <w:sz w:val="24"/>
          <w:szCs w:val="24"/>
        </w:rPr>
        <w:t xml:space="preserve"> una respuesta satisfactoria</w:t>
      </w:r>
      <w:r w:rsidR="00D26689">
        <w:rPr>
          <w:rFonts w:ascii="Palatino Linotype" w:hAnsi="Palatino Linotype" w:cs="Arial"/>
          <w:sz w:val="24"/>
          <w:szCs w:val="24"/>
        </w:rPr>
        <w:t>, la cual debió de ser el punto de partida para un desistimiento, por lo tanto considero que la P</w:t>
      </w:r>
      <w:r w:rsidR="00D26689" w:rsidRPr="00D26689">
        <w:rPr>
          <w:rFonts w:ascii="Palatino Linotype" w:hAnsi="Palatino Linotype" w:cs="Arial"/>
          <w:sz w:val="24"/>
          <w:szCs w:val="24"/>
        </w:rPr>
        <w:t xml:space="preserve">onencia </w:t>
      </w:r>
      <w:proofErr w:type="spellStart"/>
      <w:r w:rsidR="00D26689" w:rsidRPr="00D26689">
        <w:rPr>
          <w:rFonts w:ascii="Palatino Linotype" w:hAnsi="Palatino Linotype" w:cs="Arial"/>
          <w:sz w:val="24"/>
          <w:szCs w:val="24"/>
        </w:rPr>
        <w:t>Resolutora</w:t>
      </w:r>
      <w:proofErr w:type="spellEnd"/>
      <w:r w:rsidR="00D26689" w:rsidRPr="00D26689">
        <w:rPr>
          <w:rFonts w:ascii="Palatino Linotype" w:hAnsi="Palatino Linotype" w:cs="Arial"/>
          <w:sz w:val="24"/>
          <w:szCs w:val="24"/>
        </w:rPr>
        <w:t xml:space="preserve"> debió de </w:t>
      </w:r>
      <w:r w:rsidR="00D26689">
        <w:rPr>
          <w:rFonts w:ascii="Palatino Linotype" w:hAnsi="Palatino Linotype" w:cs="Arial"/>
          <w:sz w:val="24"/>
          <w:szCs w:val="24"/>
        </w:rPr>
        <w:t>considerar la expresiones contenidas en desistimiento, así como el contenido de la respuesta y con ello evitar</w:t>
      </w:r>
      <w:r w:rsidRPr="00D26689">
        <w:rPr>
          <w:rFonts w:ascii="Palatino Linotype" w:hAnsi="Palatino Linotype" w:cs="Arial"/>
          <w:sz w:val="24"/>
          <w:szCs w:val="24"/>
        </w:rPr>
        <w:t xml:space="preserve"> </w:t>
      </w:r>
      <w:r w:rsidR="00D26689">
        <w:rPr>
          <w:rFonts w:ascii="Palatino Linotype" w:hAnsi="Palatino Linotype" w:cs="Arial"/>
          <w:sz w:val="24"/>
          <w:szCs w:val="24"/>
        </w:rPr>
        <w:t xml:space="preserve">una </w:t>
      </w:r>
      <w:r w:rsidRPr="00D26689">
        <w:rPr>
          <w:rFonts w:ascii="Palatino Linotype" w:hAnsi="Palatino Linotype" w:cs="Arial"/>
          <w:sz w:val="24"/>
          <w:szCs w:val="24"/>
        </w:rPr>
        <w:t xml:space="preserve">posible afectación </w:t>
      </w:r>
      <w:r w:rsidR="00D26689">
        <w:rPr>
          <w:rFonts w:ascii="Palatino Linotype" w:hAnsi="Palatino Linotype" w:cs="Arial"/>
          <w:sz w:val="24"/>
          <w:szCs w:val="24"/>
        </w:rPr>
        <w:t>al derecho de acceso a la información del solicitante.</w:t>
      </w:r>
    </w:p>
    <w:p w:rsidR="002A3FC6" w:rsidRPr="00310843" w:rsidRDefault="002A3FC6" w:rsidP="002A3FC6">
      <w:pPr>
        <w:spacing w:after="0" w:line="360" w:lineRule="auto"/>
        <w:jc w:val="both"/>
        <w:rPr>
          <w:rFonts w:ascii="Palatino Linotype" w:hAnsi="Palatino Linotype" w:cs="Arial"/>
          <w:sz w:val="24"/>
          <w:szCs w:val="24"/>
        </w:rPr>
      </w:pPr>
    </w:p>
    <w:p w:rsidR="002A3FC6" w:rsidRDefault="002A3FC6" w:rsidP="0068468C">
      <w:pPr>
        <w:spacing w:line="276" w:lineRule="auto"/>
        <w:jc w:val="center"/>
        <w:rPr>
          <w:rFonts w:ascii="Palatino Linotype" w:eastAsia="Calibri" w:hAnsi="Palatino Linotype" w:cs="Arial"/>
          <w:b/>
          <w:sz w:val="24"/>
          <w:szCs w:val="24"/>
        </w:rPr>
      </w:pPr>
      <w:r w:rsidRPr="00310843">
        <w:rPr>
          <w:rFonts w:ascii="Palatino Linotype" w:eastAsia="Calibri" w:hAnsi="Palatino Linotype" w:cs="Arial"/>
          <w:b/>
          <w:sz w:val="24"/>
          <w:szCs w:val="24"/>
        </w:rPr>
        <w:t>JOSÉ GUADALUPE LUNA HERNÁNDEZ</w:t>
      </w:r>
    </w:p>
    <w:p w:rsidR="0068468C" w:rsidRDefault="0068468C" w:rsidP="0068468C">
      <w:pPr>
        <w:spacing w:line="276" w:lineRule="auto"/>
        <w:jc w:val="center"/>
        <w:rPr>
          <w:rFonts w:ascii="Palatino Linotype" w:eastAsia="Calibri" w:hAnsi="Palatino Linotype" w:cs="Arial"/>
          <w:b/>
          <w:sz w:val="24"/>
          <w:szCs w:val="24"/>
        </w:rPr>
      </w:pPr>
    </w:p>
    <w:p w:rsidR="002A3FC6" w:rsidRDefault="002A3FC6" w:rsidP="0068468C">
      <w:pPr>
        <w:spacing w:line="276" w:lineRule="auto"/>
        <w:jc w:val="center"/>
        <w:rPr>
          <w:rFonts w:ascii="Palatino Linotype" w:eastAsia="Calibri" w:hAnsi="Palatino Linotype" w:cs="Arial"/>
          <w:b/>
          <w:sz w:val="24"/>
          <w:szCs w:val="24"/>
        </w:rPr>
      </w:pPr>
      <w:r w:rsidRPr="00310843">
        <w:rPr>
          <w:rFonts w:ascii="Palatino Linotype" w:eastAsia="Calibri" w:hAnsi="Palatino Linotype" w:cs="Arial"/>
          <w:b/>
          <w:sz w:val="24"/>
          <w:szCs w:val="24"/>
        </w:rPr>
        <w:t>COMISIONADO</w:t>
      </w:r>
    </w:p>
    <w:p w:rsidR="0068468C" w:rsidRDefault="0068468C" w:rsidP="003064A9">
      <w:pPr>
        <w:spacing w:line="360" w:lineRule="auto"/>
        <w:rPr>
          <w:rFonts w:ascii="Palatino Linotype" w:eastAsia="Calibri" w:hAnsi="Palatino Linotype" w:cs="Arial"/>
          <w:b/>
          <w:sz w:val="20"/>
          <w:szCs w:val="20"/>
        </w:rPr>
      </w:pPr>
    </w:p>
    <w:p w:rsidR="0025734D" w:rsidRPr="007B01E6" w:rsidRDefault="002A3FC6" w:rsidP="003064A9">
      <w:pPr>
        <w:spacing w:line="360" w:lineRule="auto"/>
        <w:rPr>
          <w:sz w:val="20"/>
          <w:szCs w:val="20"/>
        </w:rPr>
      </w:pPr>
      <w:r w:rsidRPr="007B01E6">
        <w:rPr>
          <w:rFonts w:ascii="Palatino Linotype" w:eastAsia="Calibri" w:hAnsi="Palatino Linotype" w:cs="Arial"/>
          <w:b/>
          <w:sz w:val="20"/>
          <w:szCs w:val="20"/>
        </w:rPr>
        <w:t>JGLH/MSA</w:t>
      </w:r>
      <w:bookmarkStart w:id="4" w:name="_GoBack"/>
      <w:bookmarkEnd w:id="4"/>
    </w:p>
    <w:sectPr w:rsidR="0025734D" w:rsidRPr="007B01E6" w:rsidSect="00267F73">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25" w:rsidRDefault="00886C25" w:rsidP="002A3FC6">
      <w:pPr>
        <w:spacing w:after="0" w:line="240" w:lineRule="auto"/>
      </w:pPr>
      <w:r>
        <w:separator/>
      </w:r>
    </w:p>
  </w:endnote>
  <w:endnote w:type="continuationSeparator" w:id="0">
    <w:p w:rsidR="00886C25" w:rsidRDefault="00886C25" w:rsidP="002A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2C14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4C95">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4C95">
              <w:rPr>
                <w:b/>
                <w:bCs/>
                <w:noProof/>
              </w:rPr>
              <w:t>9</w:t>
            </w:r>
            <w:r>
              <w:rPr>
                <w:b/>
                <w:bCs/>
                <w:sz w:val="24"/>
                <w:szCs w:val="24"/>
              </w:rPr>
              <w:fldChar w:fldCharType="end"/>
            </w:r>
          </w:p>
        </w:sdtContent>
      </w:sdt>
    </w:sdtContent>
  </w:sdt>
  <w:p w:rsidR="00951E8B" w:rsidRDefault="00684C95"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25" w:rsidRDefault="00886C25" w:rsidP="002A3FC6">
      <w:pPr>
        <w:spacing w:after="0" w:line="240" w:lineRule="auto"/>
      </w:pPr>
      <w:r>
        <w:separator/>
      </w:r>
    </w:p>
  </w:footnote>
  <w:footnote w:type="continuationSeparator" w:id="0">
    <w:p w:rsidR="00886C25" w:rsidRDefault="00886C25" w:rsidP="002A3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84C9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77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84C95">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1" type="#_x0000_t136" style="position:absolute;margin-left:0;margin-top:0;width:566.4pt;height:56.6pt;rotation:315;z-index:-25165875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684C9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84C9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0" type="#_x0000_t136" style="position:absolute;margin-left:0;margin-top:0;width:557.4pt;height:65.55pt;rotation:315;z-index:-25165772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8E2722"/>
    <w:multiLevelType w:val="hybridMultilevel"/>
    <w:tmpl w:val="907EB5A2"/>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C6"/>
    <w:rsid w:val="000836CE"/>
    <w:rsid w:val="00170936"/>
    <w:rsid w:val="001D0944"/>
    <w:rsid w:val="00247251"/>
    <w:rsid w:val="0025734D"/>
    <w:rsid w:val="002A3FC6"/>
    <w:rsid w:val="002C14B8"/>
    <w:rsid w:val="003064A9"/>
    <w:rsid w:val="00592FEC"/>
    <w:rsid w:val="0068468C"/>
    <w:rsid w:val="00684C95"/>
    <w:rsid w:val="006A0ED2"/>
    <w:rsid w:val="007B01E6"/>
    <w:rsid w:val="00886C25"/>
    <w:rsid w:val="00D26689"/>
    <w:rsid w:val="00D71B83"/>
    <w:rsid w:val="00D745F1"/>
    <w:rsid w:val="00D97B7C"/>
    <w:rsid w:val="00E9038F"/>
    <w:rsid w:val="00EC5B5F"/>
    <w:rsid w:val="00F940D3"/>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A7CFF9F-6D74-43EA-B773-37FF3B87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C6"/>
  </w:style>
  <w:style w:type="paragraph" w:styleId="Ttulo2">
    <w:name w:val="heading 2"/>
    <w:basedOn w:val="Normal"/>
    <w:next w:val="Normal"/>
    <w:link w:val="Ttulo2Car"/>
    <w:uiPriority w:val="9"/>
    <w:unhideWhenUsed/>
    <w:qFormat/>
    <w:rsid w:val="00592F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A3FC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A3FC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A3FC6"/>
    <w:rPr>
      <w:vertAlign w:val="superscript"/>
    </w:rPr>
  </w:style>
  <w:style w:type="paragraph" w:styleId="Piedepgina">
    <w:name w:val="footer"/>
    <w:basedOn w:val="Normal"/>
    <w:link w:val="PiedepginaCar"/>
    <w:uiPriority w:val="99"/>
    <w:unhideWhenUsed/>
    <w:rsid w:val="002A3F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FC6"/>
  </w:style>
  <w:style w:type="paragraph" w:styleId="Encabezado">
    <w:name w:val="header"/>
    <w:basedOn w:val="Normal"/>
    <w:link w:val="EncabezadoCar"/>
    <w:uiPriority w:val="99"/>
    <w:unhideWhenUsed/>
    <w:rsid w:val="002A3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FC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3FC6"/>
    <w:pPr>
      <w:ind w:left="720"/>
      <w:contextualSpacing/>
    </w:pPr>
  </w:style>
  <w:style w:type="character" w:styleId="Hipervnculo">
    <w:name w:val="Hyperlink"/>
    <w:uiPriority w:val="99"/>
    <w:unhideWhenUsed/>
    <w:rsid w:val="00D71B83"/>
    <w:rPr>
      <w:strike w:val="0"/>
      <w:dstrike w:val="0"/>
      <w:color w:val="035899"/>
      <w:u w:val="none"/>
      <w:effect w: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1B83"/>
  </w:style>
  <w:style w:type="paragraph" w:styleId="Textodeglobo">
    <w:name w:val="Balloon Text"/>
    <w:basedOn w:val="Normal"/>
    <w:link w:val="TextodegloboCar"/>
    <w:uiPriority w:val="99"/>
    <w:semiHidden/>
    <w:unhideWhenUsed/>
    <w:rsid w:val="00592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2FEC"/>
    <w:rPr>
      <w:rFonts w:ascii="Segoe UI" w:hAnsi="Segoe UI" w:cs="Segoe UI"/>
      <w:sz w:val="18"/>
      <w:szCs w:val="18"/>
    </w:rPr>
  </w:style>
  <w:style w:type="paragraph" w:styleId="TDC1">
    <w:name w:val="toc 1"/>
    <w:basedOn w:val="Normal"/>
    <w:next w:val="Normal"/>
    <w:autoRedefine/>
    <w:uiPriority w:val="39"/>
    <w:unhideWhenUsed/>
    <w:rsid w:val="00592FEC"/>
    <w:pPr>
      <w:spacing w:after="100"/>
    </w:pPr>
  </w:style>
  <w:style w:type="character" w:customStyle="1" w:styleId="Ttulo2Car">
    <w:name w:val="Título 2 Car"/>
    <w:basedOn w:val="Fuentedeprrafopredeter"/>
    <w:link w:val="Ttulo2"/>
    <w:uiPriority w:val="9"/>
    <w:rsid w:val="00592FEC"/>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592FE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1769</Words>
  <Characters>9730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cp:lastPrinted>2019-07-02T00:54:00Z</cp:lastPrinted>
  <dcterms:created xsi:type="dcterms:W3CDTF">2019-08-27T16:02:00Z</dcterms:created>
  <dcterms:modified xsi:type="dcterms:W3CDTF">2019-08-28T00:52:00Z</dcterms:modified>
</cp:coreProperties>
</file>